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icheTitre"/>
        <w:spacing w:before="960" w:after="120"/>
        <w:ind w:hanging="0" w:left="0"/>
        <w:rPr>
          <w:rFonts w:cs="Arial Narrow"/>
          <w:b w:val="false"/>
          <w:bCs/>
          <w:spacing w:val="50"/>
          <w:szCs w:val="17"/>
        </w:rPr>
      </w:pPr>
      <w:r>
        <w:rPr>
          <w:rFonts w:cs="Arial Narrow"/>
          <w:b w:val="false"/>
          <w:bCs/>
          <w:spacing w:val="50"/>
          <w:szCs w:val="17"/>
        </w:rPr>
        <w:drawing>
          <wp:anchor behindDoc="0" distT="0" distB="0" distL="114300" distR="114300" simplePos="0" locked="0" layoutInCell="0" allowOverlap="1" relativeHeight="2">
            <wp:simplePos x="0" y="0"/>
            <wp:positionH relativeFrom="margin">
              <wp:posOffset>-628650</wp:posOffset>
            </wp:positionH>
            <wp:positionV relativeFrom="margin">
              <wp:posOffset>-796290</wp:posOffset>
            </wp:positionV>
            <wp:extent cx="2562225" cy="1571625"/>
            <wp:effectExtent l="0" t="0" r="0" b="0"/>
            <wp:wrapSquare wrapText="bothSides"/>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tretch>
                      <a:fillRect/>
                    </a:stretch>
                  </pic:blipFill>
                  <pic:spPr bwMode="auto">
                    <a:xfrm>
                      <a:off x="0" y="0"/>
                      <a:ext cx="2562225" cy="1571625"/>
                    </a:xfrm>
                    <a:prstGeom prst="rect">
                      <a:avLst/>
                    </a:prstGeom>
                    <a:noFill/>
                  </pic:spPr>
                </pic:pic>
              </a:graphicData>
            </a:graphic>
          </wp:anchor>
        </w:drawing>
        <mc:AlternateContent>
          <mc:Choice Requires="wps">
            <w:drawing>
              <wp:anchor behindDoc="0" distT="0" distB="0" distL="0" distR="0" simplePos="0" locked="0" layoutInCell="1" allowOverlap="1" relativeHeight="3" wp14:anchorId="46F023E1">
                <wp:simplePos x="0" y="0"/>
                <wp:positionH relativeFrom="column">
                  <wp:posOffset>1998980</wp:posOffset>
                </wp:positionH>
                <wp:positionV relativeFrom="paragraph">
                  <wp:posOffset>-328295</wp:posOffset>
                </wp:positionV>
                <wp:extent cx="2190750" cy="457200"/>
                <wp:effectExtent l="0" t="0" r="0" b="0"/>
                <wp:wrapNone/>
                <wp:docPr id="2" name="Text Box 5"/>
                <a:graphic xmlns:a="http://schemas.openxmlformats.org/drawingml/2006/main">
                  <a:graphicData uri="http://schemas.microsoft.com/office/word/2010/wordprocessingShape">
                    <wps:wsp>
                      <wps:cNvSpPr/>
                      <wps:spPr>
                        <a:xfrm>
                          <a:off x="0" y="0"/>
                          <a:ext cx="2190600" cy="457200"/>
                        </a:xfrm>
                        <a:prstGeom prst="rect">
                          <a:avLst/>
                        </a:prstGeom>
                        <a:solidFill>
                          <a:srgbClr val="ffffff"/>
                        </a:solidFill>
                        <a:ln w="0">
                          <a:noFill/>
                        </a:ln>
                      </wps:spPr>
                      <wps:style>
                        <a:lnRef idx="0"/>
                        <a:fillRef idx="0"/>
                        <a:effectRef idx="0"/>
                        <a:fontRef idx="minor"/>
                      </wps:style>
                      <wps:txbx>
                        <w:txbxContent>
                          <w:p>
                            <w:pPr>
                              <w:pStyle w:val="Contenudecadre"/>
                              <w:jc w:val="right"/>
                              <w:rPr>
                                <w:rFonts w:ascii="Marianne Medium" w:hAnsi="Marianne Medium"/>
                                <w:sz w:val="22"/>
                                <w:szCs w:val="22"/>
                              </w:rPr>
                            </w:pPr>
                            <w:r>
                              <w:rPr>
                                <w:rFonts w:ascii="Marianne Medium" w:hAnsi="Marianne Medium"/>
                                <w:color w:val="000000"/>
                                <w:sz w:val="22"/>
                                <w:szCs w:val="22"/>
                              </w:rPr>
                              <w:t xml:space="preserve">Direction des </w:t>
                              <w:br/>
                              <w:t>Affaires juridiques</w:t>
                            </w:r>
                          </w:p>
                        </w:txbxContent>
                      </wps:txbx>
                      <wps:bodyPr anchor="t" upright="1">
                        <a:noAutofit/>
                      </wps:bodyPr>
                    </wps:wsp>
                  </a:graphicData>
                </a:graphic>
              </wp:anchor>
            </w:drawing>
          </mc:Choice>
          <mc:Fallback>
            <w:pict>
              <v:rect id="shape_0" ID="Text Box 5" path="m0,0l-2147483645,0l-2147483645,-2147483646l0,-2147483646xe" fillcolor="white" stroked="f" o:allowincell="f" style="position:absolute;margin-left:157.4pt;margin-top:-25.85pt;width:172.45pt;height:35.95pt;mso-wrap-style:square;v-text-anchor:top" wp14:anchorId="46F023E1">
                <v:fill o:detectmouseclick="t" type="solid" color2="black"/>
                <v:stroke color="#3465a4" joinstyle="round" endcap="flat"/>
                <v:textbox>
                  <w:txbxContent>
                    <w:p>
                      <w:pPr>
                        <w:pStyle w:val="Contenudecadre"/>
                        <w:jc w:val="right"/>
                        <w:rPr>
                          <w:rFonts w:ascii="Marianne Medium" w:hAnsi="Marianne Medium"/>
                          <w:sz w:val="22"/>
                          <w:szCs w:val="22"/>
                        </w:rPr>
                      </w:pPr>
                      <w:r>
                        <w:rPr>
                          <w:rFonts w:ascii="Marianne Medium" w:hAnsi="Marianne Medium"/>
                          <w:color w:val="000000"/>
                          <w:sz w:val="22"/>
                          <w:szCs w:val="22"/>
                        </w:rPr>
                        <w:t xml:space="preserve">Direction des </w:t>
                        <w:br/>
                        <w:t>Affaires juridiques</w:t>
                      </w:r>
                    </w:p>
                  </w:txbxContent>
                </v:textbox>
                <w10:wrap type="none"/>
              </v:rect>
            </w:pict>
          </mc:Fallback>
        </mc:AlternateContent>
      </w:r>
    </w:p>
    <w:p>
      <w:pPr>
        <w:sectPr>
          <w:footerReference w:type="even" r:id="rId3"/>
          <w:footerReference w:type="default" r:id="rId4"/>
          <w:footerReference w:type="first" r:id="rId5"/>
          <w:type w:val="nextPage"/>
          <w:pgSz w:w="11906" w:h="16838"/>
          <w:pgMar w:left="1417" w:right="1417" w:gutter="0" w:header="0" w:top="1417" w:footer="680" w:bottom="1417"/>
          <w:pgNumType w:fmt="decimal"/>
          <w:formProt w:val="false"/>
          <w:textDirection w:val="lrTb"/>
          <w:docGrid w:type="default" w:linePitch="360" w:charSpace="0"/>
        </w:sectPr>
      </w:pPr>
    </w:p>
    <w:tbl>
      <w:tblPr>
        <w:tblW w:w="9889"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038"/>
        <w:gridCol w:w="850"/>
      </w:tblGrid>
      <w:tr>
        <w:trPr/>
        <w:tc>
          <w:tcPr>
            <w:tcW w:w="9038" w:type="dxa"/>
            <w:tcBorders/>
            <w:shd w:color="auto" w:fill="465F9D" w:val="clear"/>
          </w:tcPr>
          <w:p>
            <w:pPr>
              <w:pStyle w:val="Heading8"/>
              <w:numPr>
                <w:ilvl w:val="7"/>
                <w:numId w:val="2"/>
              </w:numPr>
              <w:tabs>
                <w:tab w:val="left" w:pos="0" w:leader="none"/>
                <w:tab w:val="right" w:pos="9639" w:leader="none"/>
              </w:tabs>
              <w:spacing w:before="120" w:after="120"/>
              <w:rPr>
                <w:rFonts w:ascii="Marianne" w:hAnsi="Marianne"/>
                <w:caps/>
                <w:color w:val="FFFFFF"/>
                <w:sz w:val="28"/>
                <w:szCs w:val="28"/>
              </w:rPr>
            </w:pPr>
            <w:r>
              <w:rPr>
                <w:rFonts w:ascii="Marianne" w:hAnsi="Marianne"/>
                <w:b w:val="false"/>
                <w:caps/>
                <w:color w:val="FFFFFF"/>
              </w:rPr>
              <w:t>MARCHES PUBLICS</w:t>
            </w:r>
          </w:p>
          <w:p>
            <w:pPr>
              <w:pStyle w:val="Heading8"/>
              <w:numPr>
                <w:ilvl w:val="7"/>
                <w:numId w:val="2"/>
              </w:numPr>
              <w:tabs>
                <w:tab w:val="left" w:pos="0" w:leader="none"/>
                <w:tab w:val="right" w:pos="9639" w:leader="none"/>
              </w:tabs>
              <w:rPr>
                <w:rFonts w:ascii="Marianne" w:hAnsi="Marianne"/>
                <w:color w:val="FFFFFF"/>
                <w:sz w:val="28"/>
                <w:szCs w:val="28"/>
              </w:rPr>
            </w:pPr>
            <w:r>
              <w:rPr>
                <w:rFonts w:ascii="Marianne" w:hAnsi="Marianne"/>
                <w:caps/>
                <w:color w:val="FFFFFF"/>
                <w:sz w:val="28"/>
                <w:szCs w:val="28"/>
              </w:rPr>
              <w:t>DECLARATION DU candidat INDIVIDUEL</w:t>
            </w:r>
          </w:p>
          <w:p>
            <w:pPr>
              <w:pStyle w:val="Normal"/>
              <w:spacing w:before="120" w:after="120"/>
              <w:jc w:val="center"/>
              <w:rPr>
                <w:caps/>
                <w:color w:val="FFFFFF"/>
                <w:sz w:val="28"/>
                <w:szCs w:val="28"/>
              </w:rPr>
            </w:pPr>
            <w:r>
              <w:rPr>
                <w:rFonts w:cs="Arial" w:ascii="Marianne" w:hAnsi="Marianne"/>
                <w:b/>
                <w:color w:val="FFFFFF"/>
                <w:sz w:val="28"/>
                <w:szCs w:val="28"/>
              </w:rPr>
              <w:t>OU DU MEMBRE DU GROUPEMENT</w:t>
            </w:r>
            <w:r>
              <w:rPr>
                <w:rStyle w:val="FootnoteReference"/>
                <w:rFonts w:ascii="Marianne" w:hAnsi="Marianne"/>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Marianne" w:hAnsi="Marianne"/>
                <w:color w:val="FFFFFF"/>
              </w:rPr>
            </w:pPr>
            <w:r>
              <w:rPr>
                <w:rFonts w:ascii="Marianne" w:hAnsi="Marianne"/>
                <w:caps/>
                <w:color w:val="FFFFFF"/>
                <w:sz w:val="28"/>
                <w:szCs w:val="28"/>
              </w:rPr>
              <w:t>DC2</w:t>
            </w:r>
          </w:p>
        </w:tc>
      </w:tr>
    </w:tbl>
    <w:p>
      <w:pPr>
        <w:pStyle w:val="Normal"/>
        <w:jc w:val="both"/>
        <w:rPr>
          <w:rFonts w:ascii="Arial" w:hAnsi="Arial" w:cs="Arial"/>
        </w:rPr>
      </w:pPr>
      <w:r>
        <w:rPr>
          <w:rFonts w:cs="Arial" w:ascii="Arial" w:hAnsi="Arial"/>
        </w:rPr>
      </w:r>
    </w:p>
    <w:p>
      <w:pPr>
        <w:pStyle w:val="Heading2"/>
        <w:numPr>
          <w:ilvl w:val="1"/>
          <w:numId w:val="2"/>
        </w:numPr>
        <w:jc w:val="both"/>
        <w:rPr>
          <w:rFonts w:ascii="Marianne" w:hAnsi="Marianne" w:cs="Arial"/>
          <w:b w:val="false"/>
          <w:i/>
          <w:i/>
          <w:sz w:val="18"/>
          <w:szCs w:val="18"/>
        </w:rPr>
      </w:pPr>
      <w:r>
        <w:rPr>
          <w:rFonts w:cs="Arial" w:ascii="Marianne" w:hAnsi="Marianne"/>
          <w:b w:val="false"/>
          <w:i/>
          <w:sz w:val="18"/>
          <w:szCs w:val="18"/>
        </w:rPr>
        <w:t>Le formulaire DC2 est un modèle de déclaration qui peut être utilisé par les candidats aux marchés publics (marchés ou accords-cadres) à l'appui de leur candidature (formulaire DC1).</w:t>
      </w:r>
    </w:p>
    <w:p>
      <w:pPr>
        <w:pStyle w:val="Heading2"/>
        <w:numPr>
          <w:ilvl w:val="1"/>
          <w:numId w:val="2"/>
        </w:numPr>
        <w:jc w:val="both"/>
        <w:rPr>
          <w:rFonts w:ascii="Marianne" w:hAnsi="Marianne" w:cs="Arial"/>
          <w:b w:val="false"/>
          <w:i/>
          <w:i/>
          <w:sz w:val="18"/>
          <w:szCs w:val="18"/>
        </w:rPr>
      </w:pPr>
      <w:r>
        <w:rPr>
          <w:rFonts w:cs="Arial" w:ascii="Marianne" w:hAnsi="Marianne"/>
          <w:b w:val="false"/>
          <w:i/>
          <w:sz w:val="18"/>
          <w:szCs w:val="18"/>
        </w:rPr>
        <w:t>En cas d’allotissement, ce document doit être fourni pour chacun des lots de la consultation.</w:t>
      </w:r>
    </w:p>
    <w:p>
      <w:pPr>
        <w:pStyle w:val="Normal"/>
        <w:rPr>
          <w:rFonts w:ascii="Marianne" w:hAnsi="Marianne"/>
        </w:rPr>
      </w:pPr>
      <w:r>
        <w:rPr>
          <w:rFonts w:ascii="Marianne" w:hAnsi="Marianne"/>
        </w:rPr>
      </w:r>
    </w:p>
    <w:p>
      <w:pPr>
        <w:pStyle w:val="Caption"/>
        <w:spacing w:before="0" w:after="0"/>
        <w:jc w:val="both"/>
        <w:rPr>
          <w:rFonts w:ascii="Marianne" w:hAnsi="Marianne" w:cs="Arial"/>
          <w:sz w:val="18"/>
          <w:szCs w:val="18"/>
        </w:rPr>
      </w:pPr>
      <w:r>
        <w:rPr>
          <w:rFonts w:cs="Arial" w:ascii="Marianne" w:hAnsi="Marianne"/>
          <w:sz w:val="18"/>
          <w:szCs w:val="18"/>
        </w:rPr>
        <w:t>En cas de candidature groupée, il est rempli par chaque membre du groupement.</w:t>
      </w:r>
    </w:p>
    <w:p>
      <w:pPr>
        <w:pStyle w:val="Normal"/>
        <w:rPr>
          <w:rFonts w:ascii="Marianne" w:hAnsi="Marianne"/>
        </w:rPr>
      </w:pPr>
      <w:r>
        <w:rPr>
          <w:rFonts w:ascii="Marianne" w:hAnsi="Marianne"/>
        </w:rPr>
      </w:r>
    </w:p>
    <w:p>
      <w:pPr>
        <w:pStyle w:val="Normal"/>
        <w:jc w:val="both"/>
        <w:rPr>
          <w:rFonts w:ascii="Marianne" w:hAnsi="Marianne" w:cs="Arial"/>
          <w:i/>
          <w:i/>
          <w:sz w:val="18"/>
          <w:szCs w:val="18"/>
        </w:rPr>
      </w:pPr>
      <w:r>
        <w:rPr>
          <w:rFonts w:cs="Arial" w:ascii="Marianne" w:hAnsi="Marianne"/>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cs="Arial" w:ascii="Marianne" w:hAnsi="Marianne"/>
        </w:rPr>
        <w:t xml:space="preserve"> </w:t>
      </w:r>
      <w:r>
        <w:rPr>
          <w:rFonts w:cs="Arial" w:ascii="Marianne" w:hAnsi="Marianne"/>
          <w:i/>
          <w:sz w:val="18"/>
          <w:szCs w:val="18"/>
        </w:rPr>
        <w:t>ou dans l’invitation à confirmer l’intérêt, ou en l’absence d’un tel avis ou d’une telle invitation, dans les documents de la consultation.</w:t>
      </w:r>
    </w:p>
    <w:p>
      <w:pPr>
        <w:pStyle w:val="Normal"/>
        <w:jc w:val="both"/>
        <w:rPr>
          <w:rFonts w:ascii="Marianne" w:hAnsi="Marianne" w:cs="Arial"/>
          <w:i/>
          <w:i/>
          <w:iCs/>
        </w:rPr>
      </w:pPr>
      <w:r>
        <w:rPr>
          <w:rFonts w:cs="Arial" w:ascii="Marianne" w:hAnsi="Marianne"/>
          <w:i/>
          <w:iCs/>
        </w:rPr>
      </w:r>
    </w:p>
    <w:p>
      <w:pPr>
        <w:pStyle w:val="Heading2"/>
        <w:numPr>
          <w:ilvl w:val="1"/>
          <w:numId w:val="2"/>
        </w:numPr>
        <w:jc w:val="both"/>
        <w:rPr>
          <w:rFonts w:ascii="Marianne" w:hAnsi="Marianne" w:cs="Arial"/>
          <w:b w:val="false"/>
          <w:bCs w:val="false"/>
          <w:i/>
          <w:i/>
          <w:iCs/>
          <w:sz w:val="18"/>
          <w:szCs w:val="18"/>
        </w:rPr>
      </w:pPr>
      <w:r>
        <w:rPr>
          <w:rFonts w:cs="Arial" w:ascii="Marianne" w:hAnsi="Marianne"/>
          <w:b w:val="false"/>
          <w:i/>
          <w:sz w:val="18"/>
          <w:szCs w:val="18"/>
        </w:rPr>
        <w:t xml:space="preserve">Il est rappelé qu’en application du code de la commande publique, et notamment ses </w:t>
      </w:r>
      <w:hyperlink r:id="rId6">
        <w:r>
          <w:rPr>
            <w:rStyle w:val="Hyperlink"/>
            <w:rFonts w:cs="Arial" w:ascii="Marianne" w:hAnsi="Marianne"/>
            <w:b w:val="false"/>
            <w:i/>
            <w:sz w:val="18"/>
            <w:szCs w:val="18"/>
          </w:rPr>
          <w:t>articles</w:t>
        </w:r>
        <w:r>
          <w:rPr>
            <w:rStyle w:val="Hyperlink"/>
            <w:rFonts w:cs="Calibri" w:ascii="Calibri" w:hAnsi="Calibri"/>
            <w:b w:val="false"/>
            <w:i/>
            <w:sz w:val="18"/>
            <w:szCs w:val="18"/>
          </w:rPr>
          <w:t> </w:t>
        </w:r>
        <w:r>
          <w:rPr>
            <w:rStyle w:val="Hyperlink"/>
            <w:rFonts w:cs="Arial" w:ascii="Marianne" w:hAnsi="Marianne"/>
            <w:b w:val="false"/>
            <w:i/>
            <w:sz w:val="18"/>
            <w:szCs w:val="18"/>
          </w:rPr>
          <w:t>L.</w:t>
        </w:r>
        <w:r>
          <w:rPr>
            <w:rStyle w:val="Hyperlink"/>
            <w:rFonts w:cs="Calibri" w:ascii="Calibri" w:hAnsi="Calibri"/>
            <w:b w:val="false"/>
            <w:i/>
            <w:sz w:val="18"/>
            <w:szCs w:val="18"/>
          </w:rPr>
          <w:t> </w:t>
        </w:r>
        <w:r>
          <w:rPr>
            <w:rStyle w:val="Hyperlink"/>
            <w:rFonts w:cs="Arial" w:ascii="Marianne" w:hAnsi="Marianne"/>
            <w:b w:val="false"/>
            <w:i/>
            <w:sz w:val="18"/>
            <w:szCs w:val="18"/>
          </w:rPr>
          <w:t>1110-1</w:t>
        </w:r>
      </w:hyperlink>
      <w:r>
        <w:rPr>
          <w:rFonts w:cs="Arial" w:ascii="Marianne" w:hAnsi="Marianne"/>
          <w:b w:val="false"/>
          <w:i/>
          <w:sz w:val="18"/>
          <w:szCs w:val="18"/>
        </w:rPr>
        <w:t xml:space="preserve">, et </w:t>
      </w:r>
      <w:hyperlink r:id="rId7">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2162-6</w:t>
        </w:r>
      </w:hyperlink>
      <w:r>
        <w:rPr>
          <w:rFonts w:cs="Arial" w:ascii="Marianne" w:hAnsi="Marianne"/>
          <w:b w:val="false"/>
          <w:i/>
          <w:sz w:val="18"/>
          <w:szCs w:val="18"/>
        </w:rPr>
        <w:t xml:space="preserve">, </w:t>
      </w:r>
      <w:hyperlink r:id="rId8">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2162-7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2162-12</w:t>
        </w:r>
      </w:hyperlink>
      <w:r>
        <w:rPr>
          <w:rFonts w:cs="Arial" w:ascii="Marianne" w:hAnsi="Marianne"/>
          <w:b w:val="false"/>
          <w:i/>
          <w:sz w:val="18"/>
          <w:szCs w:val="18"/>
        </w:rPr>
        <w:t xml:space="preserve">, </w:t>
      </w:r>
      <w:hyperlink r:id="rId9">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2162-14</w:t>
        </w:r>
      </w:hyperlink>
      <w:r>
        <w:rPr>
          <w:rFonts w:cs="Arial" w:ascii="Marianne" w:hAnsi="Marianne"/>
          <w:b w:val="false"/>
          <w:i/>
          <w:sz w:val="18"/>
          <w:szCs w:val="18"/>
        </w:rPr>
        <w:t xml:space="preserve"> et </w:t>
      </w:r>
      <w:hyperlink r:id="rId10">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2162-15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2162-21</w:t>
        </w:r>
      </w:hyperlink>
      <w:r>
        <w:rPr>
          <w:rFonts w:cs="Arial" w:ascii="Marianne" w:hAnsi="Marianne"/>
          <w:b w:val="false"/>
          <w:i/>
          <w:sz w:val="18"/>
          <w:szCs w:val="18"/>
        </w:rPr>
        <w:t xml:space="preserve"> (marchés publics autres que de défense ou de sécurité), ainsi que </w:t>
      </w:r>
      <w:hyperlink r:id="rId11">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23612-1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2362-6</w:t>
        </w:r>
      </w:hyperlink>
      <w:r>
        <w:rPr>
          <w:rFonts w:cs="Arial" w:ascii="Marianne" w:hAnsi="Marianne"/>
          <w:b w:val="false"/>
          <w:i/>
          <w:sz w:val="18"/>
          <w:szCs w:val="18"/>
        </w:rPr>
        <w:t xml:space="preserve">, </w:t>
      </w:r>
      <w:hyperlink r:id="rId12">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2362-7</w:t>
        </w:r>
      </w:hyperlink>
      <w:r>
        <w:rPr>
          <w:rFonts w:cs="Arial" w:ascii="Marianne" w:hAnsi="Marianne"/>
          <w:b w:val="false"/>
          <w:i/>
          <w:sz w:val="18"/>
          <w:szCs w:val="18"/>
        </w:rPr>
        <w:t xml:space="preserve">, </w:t>
      </w:r>
      <w:hyperlink r:id="rId13">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2362-8</w:t>
        </w:r>
      </w:hyperlink>
      <w:r>
        <w:rPr>
          <w:rFonts w:cs="Arial" w:ascii="Marianne" w:hAnsi="Marianne"/>
          <w:b w:val="false"/>
          <w:i/>
          <w:sz w:val="18"/>
          <w:szCs w:val="18"/>
        </w:rPr>
        <w:t xml:space="preserve">, </w:t>
      </w:r>
      <w:hyperlink r:id="rId14">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2362-9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2362-12</w:t>
        </w:r>
      </w:hyperlink>
      <w:r>
        <w:rPr>
          <w:rFonts w:cs="Arial" w:ascii="Marianne" w:hAnsi="Marianne"/>
          <w:b w:val="false"/>
          <w:i/>
          <w:sz w:val="18"/>
          <w:szCs w:val="18"/>
        </w:rPr>
        <w:t>, et</w:t>
      </w:r>
      <w:r>
        <w:rPr>
          <w:rFonts w:cs="Calibri" w:ascii="Calibri" w:hAnsi="Calibri"/>
          <w:b w:val="false"/>
          <w:i/>
          <w:sz w:val="18"/>
          <w:szCs w:val="18"/>
        </w:rPr>
        <w:t> </w:t>
      </w:r>
      <w:hyperlink r:id="rId15">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2362-18</w:t>
        </w:r>
      </w:hyperlink>
      <w:r>
        <w:rPr>
          <w:rFonts w:cs="Arial" w:ascii="Marianne" w:hAnsi="Marianne"/>
          <w:b w:val="false"/>
          <w:i/>
          <w:sz w:val="18"/>
          <w:szCs w:val="18"/>
        </w:rPr>
        <w:t xml:space="preserve"> (marchés de défense ou de sécurité), le vocable de «</w:t>
      </w:r>
      <w:r>
        <w:rPr>
          <w:rFonts w:cs="Calibri" w:ascii="Calibri" w:hAnsi="Calibri"/>
          <w:b w:val="false"/>
          <w:i/>
          <w:sz w:val="18"/>
          <w:szCs w:val="18"/>
        </w:rPr>
        <w:t> </w:t>
      </w:r>
      <w:r>
        <w:rPr>
          <w:rFonts w:cs="Arial" w:ascii="Marianne" w:hAnsi="Marianne"/>
          <w:b w:val="false"/>
          <w:i/>
          <w:sz w:val="18"/>
          <w:szCs w:val="18"/>
        </w:rPr>
        <w:t>march</w:t>
      </w:r>
      <w:r>
        <w:rPr>
          <w:rFonts w:cs="Marianne" w:ascii="Marianne" w:hAnsi="Marianne"/>
          <w:b w:val="false"/>
          <w:i/>
          <w:sz w:val="18"/>
          <w:szCs w:val="18"/>
        </w:rPr>
        <w:t>é</w:t>
      </w:r>
      <w:r>
        <w:rPr>
          <w:rFonts w:cs="Arial" w:ascii="Marianne" w:hAnsi="Marianne"/>
          <w:b w:val="false"/>
          <w:i/>
          <w:sz w:val="18"/>
          <w:szCs w:val="18"/>
        </w:rPr>
        <w:t xml:space="preserve"> public</w:t>
      </w:r>
      <w:r>
        <w:rPr>
          <w:rFonts w:cs="Calibri" w:ascii="Calibri" w:hAnsi="Calibri"/>
          <w:b w:val="false"/>
          <w:i/>
          <w:sz w:val="18"/>
          <w:szCs w:val="18"/>
        </w:rPr>
        <w:t> </w:t>
      </w:r>
      <w:r>
        <w:rPr>
          <w:rFonts w:cs="Marianne" w:ascii="Marianne" w:hAnsi="Marianne"/>
          <w:b w:val="false"/>
          <w:i/>
          <w:sz w:val="18"/>
          <w:szCs w:val="18"/>
        </w:rPr>
        <w:t>»</w:t>
      </w:r>
      <w:r>
        <w:rPr>
          <w:rFonts w:cs="Arial" w:ascii="Marianne" w:hAnsi="Marianne"/>
          <w:b w:val="false"/>
          <w:i/>
          <w:sz w:val="18"/>
          <w:szCs w:val="18"/>
        </w:rPr>
        <w:t xml:space="preserve"> recouvre aussi les march</w:t>
      </w:r>
      <w:r>
        <w:rPr>
          <w:rFonts w:cs="Marianne" w:ascii="Marianne" w:hAnsi="Marianne"/>
          <w:b w:val="false"/>
          <w:i/>
          <w:sz w:val="18"/>
          <w:szCs w:val="18"/>
        </w:rPr>
        <w:t>é</w:t>
      </w:r>
      <w:r>
        <w:rPr>
          <w:rFonts w:cs="Arial" w:ascii="Marianne" w:hAnsi="Marianne"/>
          <w:b w:val="false"/>
          <w:i/>
          <w:sz w:val="18"/>
          <w:szCs w:val="18"/>
        </w:rPr>
        <w:t>s de partenariat et les march</w:t>
      </w:r>
      <w:r>
        <w:rPr>
          <w:rFonts w:cs="Marianne" w:ascii="Marianne" w:hAnsi="Marianne"/>
          <w:b w:val="false"/>
          <w:i/>
          <w:sz w:val="18"/>
          <w:szCs w:val="18"/>
        </w:rPr>
        <w:t>é</w:t>
      </w:r>
      <w:r>
        <w:rPr>
          <w:rFonts w:cs="Arial" w:ascii="Marianne" w:hAnsi="Marianne"/>
          <w:b w:val="false"/>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jc w:val="both"/>
        <w:rPr>
          <w:rFonts w:ascii="Marianne" w:hAnsi="Marianne" w:cs="Arial"/>
          <w:i/>
          <w:i/>
          <w:sz w:val="18"/>
          <w:szCs w:val="18"/>
        </w:rPr>
      </w:pPr>
      <w:r>
        <w:rPr>
          <w:rFonts w:cs="Arial" w:ascii="Marianne" w:hAnsi="Marianne"/>
          <w:i/>
          <w:sz w:val="18"/>
          <w:szCs w:val="18"/>
        </w:rPr>
      </w:r>
    </w:p>
    <w:p>
      <w:pPr>
        <w:pStyle w:val="Normal"/>
        <w:rPr>
          <w:rFonts w:ascii="Marianne" w:hAnsi="Marianne" w:cs="Arial"/>
          <w:iCs/>
        </w:rPr>
      </w:pPr>
      <w:r>
        <w:rPr>
          <w:rFonts w:cs="Arial" w:ascii="Marianne" w:hAnsi="Marianne"/>
          <w:iCs/>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Marianne" w:hAnsi="Marianne" w:cs="Arial"/>
                <w:i/>
                <w:i/>
                <w:iCs/>
                <w:color w:val="FFFFFF"/>
                <w:sz w:val="18"/>
                <w:szCs w:val="18"/>
              </w:rPr>
            </w:pPr>
            <w:r>
              <w:rPr>
                <w:rFonts w:cs="Arial" w:ascii="Marianne" w:hAnsi="Marianne"/>
                <w:b/>
                <w:bCs/>
                <w:color w:val="FFFFFF"/>
                <w:sz w:val="22"/>
                <w:szCs w:val="22"/>
              </w:rPr>
              <w:t>A - Identification de l’acheteur</w:t>
            </w:r>
          </w:p>
        </w:tc>
      </w:tr>
    </w:tbl>
    <w:p>
      <w:pPr>
        <w:pStyle w:val="Normal"/>
        <w:jc w:val="center"/>
        <w:rPr>
          <w:rFonts w:ascii="Marianne" w:hAnsi="Marianne" w:cs="Arial"/>
          <w:b/>
          <w:bCs/>
        </w:rPr>
      </w:pPr>
      <w:r>
        <w:rPr>
          <w:rFonts w:cs="Arial" w:ascii="Marianne" w:hAnsi="Marianne"/>
          <w:b/>
          <w:bCs/>
        </w:rPr>
      </w:r>
    </w:p>
    <w:p>
      <w:pPr>
        <w:pStyle w:val="Normal"/>
        <w:jc w:val="center"/>
        <w:rPr>
          <w:rFonts w:ascii="Marianne" w:hAnsi="Marianne" w:cs="Arial"/>
          <w:b/>
          <w:bCs/>
        </w:rPr>
      </w:pPr>
      <w:r>
        <w:rPr>
          <w:rFonts w:cs="Arial" w:ascii="Marianne" w:hAnsi="Marianne"/>
          <w:b/>
          <w:bCs/>
        </w:rPr>
        <w:t>UNIVERSITE DE RENNES</w:t>
      </w:r>
    </w:p>
    <w:p>
      <w:pPr>
        <w:pStyle w:val="Normal"/>
        <w:jc w:val="center"/>
        <w:rPr>
          <w:rFonts w:ascii="Marianne" w:hAnsi="Marianne" w:cs="Arial"/>
          <w:b/>
          <w:bCs/>
        </w:rPr>
      </w:pPr>
      <w:r>
        <w:rPr>
          <w:rFonts w:cs="Arial" w:ascii="Marianne" w:hAnsi="Marianne"/>
          <w:b/>
          <w:bCs/>
        </w:rPr>
        <w:t>2 rue du Thabor</w:t>
      </w:r>
    </w:p>
    <w:p>
      <w:pPr>
        <w:pStyle w:val="Normal"/>
        <w:jc w:val="center"/>
        <w:rPr>
          <w:rFonts w:ascii="Marianne" w:hAnsi="Marianne" w:cs="Arial"/>
          <w:b/>
          <w:bCs/>
        </w:rPr>
      </w:pPr>
      <w:r>
        <w:rPr>
          <w:rFonts w:cs="Arial" w:ascii="Marianne" w:hAnsi="Marianne"/>
          <w:b/>
          <w:bCs/>
        </w:rPr>
        <w:t>CS 46510</w:t>
      </w:r>
    </w:p>
    <w:p>
      <w:pPr>
        <w:pStyle w:val="Normal"/>
        <w:jc w:val="center"/>
        <w:rPr>
          <w:rFonts w:ascii="Marianne" w:hAnsi="Marianne" w:cs="Arial"/>
          <w:b/>
          <w:bCs/>
        </w:rPr>
      </w:pPr>
      <w:r>
        <w:rPr>
          <w:rFonts w:cs="Arial" w:ascii="Marianne" w:hAnsi="Marianne"/>
          <w:b/>
          <w:bCs/>
        </w:rPr>
        <w:t>35065 RENNES CEDEX</w:t>
      </w:r>
    </w:p>
    <w:p>
      <w:pPr>
        <w:pStyle w:val="Normal"/>
        <w:jc w:val="center"/>
        <w:rPr>
          <w:rFonts w:ascii="Marianne" w:hAnsi="Marianne" w:cs="Arial"/>
          <w:b/>
          <w:bCs/>
        </w:rPr>
      </w:pPr>
      <w:r>
        <w:rPr>
          <w:rFonts w:cs="Arial" w:ascii="Marianne" w:hAnsi="Marianne"/>
          <w:b/>
          <w:bCs/>
        </w:rPr>
        <w:t>SIRET : 13003051300019</w:t>
      </w:r>
    </w:p>
    <w:p>
      <w:pPr>
        <w:pStyle w:val="Normal"/>
        <w:jc w:val="both"/>
        <w:rPr>
          <w:rFonts w:ascii="Marianne" w:hAnsi="Marianne" w:cs="Arial"/>
          <w:bCs/>
        </w:rPr>
      </w:pPr>
      <w:r>
        <w:rPr>
          <w:rFonts w:cs="Arial" w:ascii="Marianne" w:hAnsi="Marianne"/>
          <w:bCs/>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i/>
                <w:i/>
                <w:color w:val="FFFFFF"/>
                <w:sz w:val="18"/>
                <w:szCs w:val="18"/>
              </w:rPr>
            </w:pPr>
            <w:r>
              <w:rPr>
                <w:rFonts w:cs="Arial" w:ascii="Marianne" w:hAnsi="Marianne"/>
                <w:b/>
                <w:bCs/>
                <w:color w:val="FFFFFF"/>
                <w:sz w:val="22"/>
                <w:szCs w:val="22"/>
              </w:rPr>
              <w:t>B - Objet de la consultation</w:t>
            </w:r>
          </w:p>
        </w:tc>
      </w:tr>
    </w:tbl>
    <w:p>
      <w:pPr>
        <w:pStyle w:val="fcase1ertab"/>
        <w:tabs>
          <w:tab w:val="left" w:pos="0" w:leader="none"/>
          <w:tab w:val="left" w:pos="426" w:leader="none"/>
        </w:tabs>
        <w:spacing w:before="120" w:after="0"/>
        <w:ind w:hanging="0" w:left="0"/>
        <w:rPr>
          <w:rFonts w:ascii="Marianne" w:hAnsi="Marianne" w:cs="Arial"/>
          <w:bCs/>
          <w:sz w:val="16"/>
          <w:szCs w:val="16"/>
        </w:rPr>
      </w:pPr>
      <w:r>
        <w:rPr>
          <w:rFonts w:cs="Arial" w:ascii="Marianne" w:hAnsi="Marianne"/>
          <w:bCs/>
          <w:sz w:val="16"/>
          <w:szCs w:val="16"/>
        </w:rPr>
      </w:r>
    </w:p>
    <w:p>
      <w:pPr>
        <w:pStyle w:val="Subtitle"/>
        <w:rPr>
          <w:rFonts w:ascii="Marianne" w:hAnsi="Marianne"/>
          <w:b/>
          <w:bCs/>
          <w:color w:val="1C1C1C"/>
          <w:sz w:val="24"/>
          <w:szCs w:val="24"/>
        </w:rPr>
      </w:pPr>
      <w:r>
        <w:rPr>
          <w:rFonts w:ascii="Marianne" w:hAnsi="Marianne"/>
          <w:b/>
          <w:bCs/>
          <w:color w:val="1C1C1C"/>
          <w:sz w:val="24"/>
          <w:szCs w:val="24"/>
        </w:rPr>
        <w:t xml:space="preserve">Acquisition d’un ensemble d’équipements pour l’Institut FOTON </w:t>
      </w:r>
      <w:r>
        <w:rPr>
          <w:rFonts w:ascii="Marianne" w:hAnsi="Marianne"/>
          <w:b/>
          <w:bCs/>
          <w:color w:val="1C1C1C"/>
          <w:sz w:val="24"/>
          <w:szCs w:val="24"/>
        </w:rPr>
        <w:t>(CPER Photbreizh phase ; ENSSAT de Lannion)</w:t>
      </w:r>
    </w:p>
    <w:p>
      <w:pPr>
        <w:pStyle w:val="Subtitle"/>
        <w:jc w:val="center"/>
        <w:rPr>
          <w:rFonts w:ascii="Marianne" w:hAnsi="Marianne"/>
          <w:b/>
          <w:bCs/>
          <w:color w:val="1C1C1C"/>
          <w:sz w:val="18"/>
          <w:szCs w:val="18"/>
        </w:rPr>
      </w:pPr>
      <w:r>
        <w:rPr>
          <w:rFonts w:ascii="Marianne" w:hAnsi="Marianne"/>
          <w:b/>
          <w:bCs/>
          <w:color w:val="1C1C1C"/>
          <w:sz w:val="18"/>
          <w:szCs w:val="18"/>
        </w:rPr>
        <w:t>Consultation n°2025064AOF</w:t>
      </w:r>
    </w:p>
    <w:p>
      <w:pPr>
        <w:pStyle w:val="RedTitre1"/>
        <w:bidi w:val="0"/>
        <w:rPr>
          <w:rFonts w:ascii="Calibri" w:hAnsi="Calibri" w:cs="Calibri"/>
        </w:rPr>
      </w:pPr>
      <w:r>
        <w:rPr>
          <w:rFonts w:cs="Calibri" w:ascii="Calibri" w:hAnsi="Calibri"/>
        </w:rPr>
      </w:r>
    </w:p>
    <w:p>
      <w:pPr>
        <w:pStyle w:val="RedTitre1"/>
        <w:bidi w:val="0"/>
        <w:rPr>
          <w:rFonts w:ascii="Calibri" w:hAnsi="Calibri" w:cs="Calibri"/>
        </w:rPr>
      </w:pPr>
      <w:r>
        <w:rPr>
          <w:rFonts w:cs="Calibri" w:ascii="Calibri" w:hAnsi="Calibri"/>
        </w:rPr>
      </w:r>
    </w:p>
    <w:p>
      <w:pPr>
        <w:pStyle w:val="RedTitre1"/>
        <w:bidi w:val="0"/>
        <w:rPr>
          <w:rFonts w:ascii="Calibri" w:hAnsi="Calibri" w:cs="Calibri"/>
        </w:rPr>
      </w:pPr>
      <w:r>
        <w:rPr>
          <w:rFonts w:cs="Calibri" w:ascii="Calibri" w:hAnsi="Calibri"/>
        </w:rPr>
      </w:r>
    </w:p>
    <w:p>
      <w:pPr>
        <w:pStyle w:val="RedTitre1"/>
        <w:bidi w:val="0"/>
        <w:rPr>
          <w:rFonts w:ascii="Calibri" w:hAnsi="Calibri" w:cs="Calibri"/>
        </w:rPr>
      </w:pPr>
      <w:r>
        <w:rPr>
          <w:rFonts w:cs="Calibri" w:ascii="Calibri" w:hAnsi="Calibri"/>
        </w:rPr>
      </w:r>
    </w:p>
    <w:p>
      <w:pPr>
        <w:pStyle w:val="RedTitre1"/>
        <w:bidi w:val="0"/>
        <w:rPr>
          <w:rFonts w:ascii="Calibri" w:hAnsi="Calibri" w:cs="Calibri"/>
        </w:rPr>
      </w:pPr>
      <w:r>
        <w:rPr>
          <w:rFonts w:cs="Calibri" w:ascii="Calibri" w:hAnsi="Calibri"/>
        </w:rPr>
      </w:r>
    </w:p>
    <w:p>
      <w:pPr>
        <w:pStyle w:val="RedTitre1"/>
        <w:bidi w:val="0"/>
        <w:rPr>
          <w:rFonts w:ascii="Calibri" w:hAnsi="Calibri" w:cs="Calibri"/>
        </w:rPr>
      </w:pPr>
      <w:r>
        <w:rPr>
          <w:rFonts w:cs="Calibri" w:ascii="Calibri" w:hAnsi="Calibri"/>
        </w:rPr>
      </w:r>
    </w:p>
    <w:p>
      <w:pPr>
        <w:pStyle w:val="fcase1ertab"/>
        <w:tabs>
          <w:tab w:val="clear" w:pos="426"/>
          <w:tab w:val="left" w:pos="0" w:leader="none"/>
        </w:tabs>
        <w:spacing w:before="120" w:after="0"/>
        <w:ind w:hanging="0" w:left="0"/>
        <w:rPr>
          <w:rFonts w:ascii="Marianne" w:hAnsi="Marianne" w:cs="Arial"/>
          <w:bCs/>
          <w:sz w:val="16"/>
          <w:szCs w:val="16"/>
        </w:rPr>
      </w:pPr>
      <w:r>
        <w:rPr>
          <w:rFonts w:cs="Arial" w:ascii="Marianne" w:hAnsi="Marianne"/>
          <w:bCs/>
          <w:sz w:val="16"/>
          <w:szCs w:val="16"/>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olor w:val="FFFFFF"/>
              </w:rPr>
            </w:pPr>
            <w:r>
              <w:rPr>
                <w:rFonts w:cs="Arial" w:ascii="Marianne" w:hAnsi="Marianne"/>
                <w:b/>
                <w:bCs/>
                <w:color w:val="FFFFFF"/>
                <w:sz w:val="22"/>
                <w:szCs w:val="22"/>
              </w:rPr>
              <w:t>C - Identification du candidat individuel ou du membre du groupement</w:t>
            </w:r>
          </w:p>
        </w:tc>
      </w:tr>
    </w:tbl>
    <w:p>
      <w:pPr>
        <w:pStyle w:val="Heading9"/>
        <w:numPr>
          <w:ilvl w:val="0"/>
          <w:numId w:val="0"/>
        </w:numPr>
        <w:ind w:hanging="0" w:left="0"/>
        <w:rPr>
          <w:rFonts w:ascii="Marianne" w:hAnsi="Marianne"/>
          <w:i w:val="false"/>
          <w:i w:val="false"/>
          <w:sz w:val="20"/>
        </w:rPr>
      </w:pPr>
      <w:r>
        <w:rPr>
          <w:rFonts w:ascii="Marianne" w:hAnsi="Marianne"/>
          <w:i w:val="false"/>
          <w:sz w:val="20"/>
        </w:rPr>
      </w:r>
    </w:p>
    <w:p>
      <w:pPr>
        <w:pStyle w:val="Heading9"/>
        <w:numPr>
          <w:ilvl w:val="0"/>
          <w:numId w:val="0"/>
        </w:numPr>
        <w:ind w:hanging="0" w:left="0"/>
        <w:rPr>
          <w:rFonts w:ascii="Marianne" w:hAnsi="Marianne"/>
          <w:i w:val="false"/>
          <w:i w:val="false"/>
          <w:iCs w:val="false"/>
          <w:sz w:val="20"/>
          <w:szCs w:val="20"/>
        </w:rPr>
      </w:pPr>
      <w:r>
        <w:rPr>
          <w:rFonts w:ascii="Marianne" w:hAnsi="Marianne"/>
          <w:b/>
          <w:bCs/>
          <w:i w:val="false"/>
          <w:iCs w:val="false"/>
          <w:sz w:val="22"/>
          <w:szCs w:val="22"/>
        </w:rPr>
        <w:t>C1 - Cas général</w:t>
      </w:r>
    </w:p>
    <w:p>
      <w:pPr>
        <w:pStyle w:val="Heading9"/>
        <w:numPr>
          <w:ilvl w:val="8"/>
          <w:numId w:val="2"/>
        </w:numPr>
        <w:ind w:left="0"/>
        <w:jc w:val="both"/>
        <w:rPr>
          <w:rFonts w:ascii="Marianne" w:hAnsi="Marianne"/>
          <w:i w:val="false"/>
          <w:i w:val="false"/>
          <w:iCs w:val="false"/>
          <w:sz w:val="20"/>
          <w:szCs w:val="20"/>
        </w:rPr>
      </w:pPr>
      <w:r>
        <w:rPr>
          <w:rFonts w:ascii="Marianne" w:hAnsi="Marianne"/>
          <w:i w:val="false"/>
          <w:iCs w:val="false"/>
          <w:sz w:val="20"/>
          <w:szCs w:val="20"/>
        </w:rPr>
      </w:r>
    </w:p>
    <w:p>
      <w:pPr>
        <w:pStyle w:val="Heading9"/>
        <w:numPr>
          <w:ilvl w:val="8"/>
          <w:numId w:val="2"/>
        </w:numPr>
        <w:ind w:left="0"/>
        <w:jc w:val="both"/>
        <w:rPr>
          <w:rFonts w:ascii="Marianne" w:hAnsi="Marianne"/>
          <w:b/>
          <w:bCs/>
        </w:rPr>
      </w:pPr>
      <w:r>
        <w:rPr>
          <w:rFonts w:ascii="Wingdings" w:hAnsi="Wingdings"/>
          <w:i w:val="false"/>
          <w:color w:val="66CCFF"/>
          <w:spacing w:val="-10"/>
          <w:position w:val="-1"/>
          <w:sz w:val="22"/>
        </w:rPr>
        <w:t></w:t>
      </w:r>
      <w:r>
        <w:rPr>
          <w:rFonts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Adresses postale et du siège social (si elle est différente de l’adresse postale)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Adresse électronique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Numéros de téléphone et de télécopie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1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1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0" w:name="Bookmark"/>
      <w:bookmarkStart w:id="1" w:name="Bookmark"/>
      <w:bookmarkEnd w:id="1"/>
      <w:r>
        <w:rPr>
          <w:rFonts w:ascii="Marianne" w:hAnsi="Marianne"/>
        </w:rPr>
      </w:r>
      <w:r>
        <w:rPr>
          <w:rFonts w:ascii="Marianne" w:hAnsi="Marianne"/>
        </w:rPr>
        <w:fldChar w:fldCharType="end"/>
      </w:r>
      <w:bookmarkStart w:id="2" w:name="Bookmark_Copie_1"/>
      <w:bookmarkStart w:id="3" w:name="Bookmark_Copie_1"/>
      <w:bookmarkEnd w:id="2"/>
      <w:bookmarkEnd w:id="3"/>
      <w:r>
        <w:rPr>
          <w:rFonts w:cs="Arial" w:ascii="Marianne" w:hAnsi="Marianne"/>
          <w:bCs/>
        </w:rPr>
        <w:t xml:space="preserve"> </w:t>
      </w:r>
      <w:r>
        <w:rPr>
          <w:rFonts w:cs="Arial" w:ascii="Marianne" w:hAnsi="Marianne"/>
        </w:rPr>
        <w:t>Oui</w:t>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Copie 1 Copie 1"/>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 w:name="Bookmark_Copie_1_Copie_1"/>
      <w:bookmarkStart w:id="5" w:name="Bookmark_Copie_1_Copie_1"/>
      <w:bookmarkEnd w:id="5"/>
      <w:r>
        <w:rPr>
          <w:rFonts w:ascii="Marianne" w:hAnsi="Marianne"/>
        </w:rPr>
      </w:r>
      <w:r>
        <w:rPr>
          <w:rFonts w:ascii="Marianne" w:hAnsi="Marianne"/>
        </w:rPr>
        <w:fldChar w:fldCharType="end"/>
      </w:r>
      <w:bookmarkStart w:id="6" w:name="Bookmark_Copie_1_Copie_1"/>
      <w:bookmarkStart w:id="7" w:name="Bookmark_Copie_1_Copie_1"/>
      <w:bookmarkEnd w:id="6"/>
      <w:bookmarkEnd w:id="7"/>
      <w:r>
        <w:rPr>
          <w:rFonts w:cs="Arial" w:ascii="Marianne" w:hAnsi="Marianne"/>
          <w:bCs/>
        </w:rPr>
        <w:t xml:space="preserve"> </w:t>
      </w:r>
      <w:r>
        <w:rPr>
          <w:rFonts w:cs="Arial" w:ascii="Marianne" w:hAnsi="Marianne"/>
        </w:rPr>
        <w:t>Non</w:t>
      </w:r>
    </w:p>
    <w:p>
      <w:pPr>
        <w:pStyle w:val="Normal"/>
        <w:ind w:left="567"/>
        <w:jc w:val="both"/>
        <w:rPr>
          <w:rFonts w:ascii="Marianne" w:hAnsi="Marianne" w:cs="Arial"/>
          <w:bCs/>
          <w:sz w:val="22"/>
        </w:rPr>
      </w:pPr>
      <w:r>
        <w:rPr>
          <w:rFonts w:cs="Arial" w:ascii="Marianne" w:hAnsi="Marianne"/>
          <w:bCs/>
          <w:sz w:val="22"/>
        </w:rPr>
      </w:r>
    </w:p>
    <w:p>
      <w:pPr>
        <w:pStyle w:val="Normal"/>
        <w:jc w:val="both"/>
        <w:rPr>
          <w:rFonts w:ascii="Marianne" w:hAnsi="Marianne" w:cs="Arial"/>
          <w:i/>
          <w:i/>
          <w:iCs/>
          <w:sz w:val="18"/>
          <w:szCs w:val="18"/>
        </w:rPr>
      </w:pPr>
      <w:r>
        <w:rPr>
          <w:rFonts w:cs="Arial" w:ascii="Marianne" w:hAnsi="Marianne"/>
          <w:b/>
          <w:bCs/>
          <w:sz w:val="22"/>
          <w:szCs w:val="22"/>
        </w:rPr>
        <w:t>C2 - Cas particuliers en cas de marché public réservé</w:t>
      </w:r>
    </w:p>
    <w:p>
      <w:pPr>
        <w:pStyle w:val="Normal"/>
        <w:spacing w:before="120" w:after="0"/>
        <w:jc w:val="both"/>
        <w:rPr>
          <w:rFonts w:ascii="Marianne" w:hAnsi="Marianne" w:cs="Arial"/>
          <w:i/>
          <w:i/>
          <w:iCs/>
          <w:szCs w:val="18"/>
        </w:rPr>
      </w:pPr>
      <w:r>
        <w:rPr>
          <w:rFonts w:cs="Arial" w:ascii="Marianne" w:hAnsi="Marianne"/>
          <w:i/>
          <w:iCs/>
          <w:szCs w:val="18"/>
        </w:rPr>
        <w:t>Le candidat individuel ou le membre du groupement répondant à l’une des conditions qui suivent et postulant à un marché public autre que de défense ou de sécurité réservé en application des articles</w:t>
      </w:r>
      <w:r>
        <w:rPr>
          <w:rFonts w:cs="Calibri" w:ascii="Calibri" w:hAnsi="Calibri"/>
          <w:i/>
          <w:iCs/>
          <w:szCs w:val="18"/>
        </w:rPr>
        <w:t> </w:t>
      </w:r>
      <w:hyperlink r:id="rId19">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2113-12</w:t>
        </w:r>
      </w:hyperlink>
      <w:r>
        <w:rPr>
          <w:rFonts w:cs="Arial" w:ascii="Marianne" w:hAnsi="Marianne"/>
          <w:i/>
          <w:iCs/>
          <w:szCs w:val="18"/>
        </w:rPr>
        <w:t>,</w:t>
      </w:r>
      <w:r>
        <w:rPr>
          <w:rFonts w:cs="Calibri" w:ascii="Calibri" w:hAnsi="Calibri"/>
          <w:i/>
          <w:iCs/>
          <w:szCs w:val="18"/>
        </w:rPr>
        <w:t> </w:t>
      </w:r>
      <w:hyperlink r:id="rId20">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2113-13</w:t>
        </w:r>
      </w:hyperlink>
      <w:r>
        <w:rPr>
          <w:rFonts w:cs="Arial" w:ascii="Marianne" w:hAnsi="Marianne"/>
          <w:i/>
          <w:iCs/>
          <w:szCs w:val="18"/>
        </w:rPr>
        <w:t xml:space="preserve">, </w:t>
      </w:r>
      <w:hyperlink r:id="rId21">
        <w:r>
          <w:rPr>
            <w:rStyle w:val="Hyperlink"/>
            <w:rFonts w:cs="Arial" w:ascii="Marianne" w:hAnsi="Marianne"/>
            <w:i/>
            <w:iCs/>
            <w:szCs w:val="18"/>
          </w:rPr>
          <w:t>L. 2113-13-1</w:t>
        </w:r>
      </w:hyperlink>
      <w:r>
        <w:rPr>
          <w:rFonts w:cs="Arial" w:ascii="Marianne" w:hAnsi="Marianne"/>
          <w:i/>
          <w:iCs/>
          <w:szCs w:val="18"/>
        </w:rPr>
        <w:t xml:space="preserve"> ou</w:t>
      </w:r>
      <w:r>
        <w:rPr>
          <w:rFonts w:cs="Calibri" w:ascii="Calibri" w:hAnsi="Calibri"/>
          <w:i/>
          <w:iCs/>
          <w:szCs w:val="18"/>
        </w:rPr>
        <w:t> </w:t>
      </w:r>
      <w:hyperlink r:id="rId22">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2113-15</w:t>
        </w:r>
      </w:hyperlink>
      <w:r>
        <w:rPr>
          <w:rFonts w:cs="Arial" w:ascii="Marianne" w:hAnsi="Marianne"/>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3">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2313-6</w:t>
        </w:r>
      </w:hyperlink>
      <w:r>
        <w:rPr>
          <w:rFonts w:cs="Arial" w:ascii="Marianne" w:hAnsi="Marianne"/>
          <w:i/>
          <w:iCs/>
          <w:szCs w:val="18"/>
        </w:rPr>
        <w:t xml:space="preserve"> du code de la commande publique coche la case correspondant à sa situation. </w:t>
      </w:r>
    </w:p>
    <w:p>
      <w:pPr>
        <w:pStyle w:val="Normal"/>
        <w:spacing w:before="120" w:after="0"/>
        <w:jc w:val="both"/>
        <w:rPr>
          <w:rFonts w:ascii="Marianne" w:hAnsi="Marianne" w:cs="Arial"/>
          <w:i/>
          <w:i/>
          <w:iCs/>
          <w:szCs w:val="18"/>
        </w:rPr>
      </w:pPr>
      <w:r>
        <w:rPr>
          <w:rFonts w:cs="Arial" w:ascii="Marianne" w:hAnsi="Marianne"/>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Marianne" w:hAnsi="Marianne"/>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Marianne" w:hAnsi="Marianne" w:cs="Arial"/>
          <w:i/>
          <w:i/>
          <w:iCs/>
          <w:szCs w:val="18"/>
        </w:rPr>
      </w:pPr>
      <w:r>
        <w:rPr>
          <w:rFonts w:cs="Arial" w:ascii="Marianne" w:hAnsi="Marianne"/>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4">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2144-1</w:t>
        </w:r>
      </w:hyperlink>
      <w:r>
        <w:rPr>
          <w:rFonts w:cs="Arial" w:ascii="Marianne" w:hAnsi="Marianne"/>
          <w:i/>
          <w:iCs/>
          <w:szCs w:val="18"/>
        </w:rPr>
        <w:t xml:space="preserve"> du code de la commande publique.</w:t>
      </w:r>
    </w:p>
    <w:p>
      <w:pPr>
        <w:pStyle w:val="Normal"/>
        <w:spacing w:before="120" w:after="0"/>
        <w:jc w:val="both"/>
        <w:rPr>
          <w:rFonts w:ascii="Marianne" w:hAnsi="Marianne" w:cs="Arial"/>
          <w:sz w:val="22"/>
        </w:rPr>
      </w:pPr>
      <w:r>
        <w:rPr>
          <w:rFonts w:cs="Arial" w:ascii="Marianne" w:hAnsi="Marianne"/>
          <w:sz w:val="22"/>
        </w:rPr>
      </w:r>
    </w:p>
    <w:p>
      <w:pPr>
        <w:pStyle w:val="Normal"/>
        <w:rPr>
          <w:vanish/>
        </w:rPr>
      </w:pPr>
      <w:r>
        <w:rPr>
          <w:vanish/>
        </w:rPr>
      </w:r>
    </w:p>
    <w:tbl>
      <w:tblPr>
        <w:tblW w:w="978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983"/>
        <w:gridCol w:w="2551"/>
        <w:gridCol w:w="5248"/>
      </w:tblGrid>
      <w:tr>
        <w:trPr>
          <w:trHeight w:val="540" w:hRule="atLeast"/>
        </w:trPr>
        <w:tc>
          <w:tcPr>
            <w:tcW w:w="1983"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structure</w:t>
            </w:r>
          </w:p>
        </w:tc>
        <w:tc>
          <w:tcPr>
            <w:tcW w:w="5248"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Eléments permettant la vérification des conditions propres à chaque marché réservé</w:t>
            </w:r>
          </w:p>
        </w:tc>
      </w:tr>
      <w:tr>
        <w:trPr>
          <w:trHeight w:val="2218" w:hRule="atLeast"/>
        </w:trPr>
        <w:tc>
          <w:tcPr>
            <w:tcW w:w="1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structures de l’insertion par l’activité économique et/ou aux structures du handicap</w:t>
            </w:r>
            <w:r>
              <w:rPr>
                <w:rFonts w:cs="Arial" w:ascii="Marianne" w:hAnsi="Marianne"/>
              </w:rPr>
              <w:t xml:space="preserve"> </w:t>
            </w:r>
            <w:r>
              <w:rPr>
                <w:rFonts w:cs="Arial" w:ascii="Marianne" w:hAnsi="Marianne"/>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3"/>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8" w:name="CaseACocher3"/>
            <w:bookmarkStart w:id="9" w:name="CaseACocher3"/>
            <w:bookmarkEnd w:id="9"/>
            <w:r>
              <w:rPr>
                <w:rFonts w:eastAsia="MS Gothic" w:cs="Arial" w:ascii="Marianne" w:hAnsi="Marianne"/>
              </w:rPr>
            </w:r>
            <w:r>
              <w:rPr>
                <w:rFonts w:eastAsia="MS Gothic" w:cs="Arial" w:ascii="Marianne" w:hAnsi="Marianne"/>
              </w:rPr>
              <w:fldChar w:fldCharType="end"/>
            </w:r>
            <w:bookmarkStart w:id="10" w:name="CaseACocher3_Copie_1_Copie_1"/>
            <w:bookmarkStart w:id="11" w:name="CaseACocher3_Copie_1"/>
            <w:bookmarkStart w:id="12" w:name="CaseACocher3_Copie_1"/>
            <w:bookmarkEnd w:id="10"/>
            <w:bookmarkEnd w:id="11"/>
            <w:bookmarkEnd w:id="12"/>
            <w:r>
              <w:rPr>
                <w:rFonts w:eastAsia="MS Gothic" w:cs="Arial" w:ascii="Marianne" w:hAnsi="Marianne"/>
              </w:rPr>
              <w:t xml:space="preserve"> </w:t>
            </w:r>
            <w:r>
              <w:rPr>
                <w:rFonts w:cs="Arial" w:ascii="Marianne" w:hAnsi="Marianne"/>
              </w:rPr>
              <w:t>Structure d’insertion par l’activité économique (</w:t>
            </w:r>
            <w:hyperlink r:id="rId25">
              <w:r>
                <w:rPr>
                  <w:rStyle w:val="Hyperlink"/>
                  <w:rFonts w:cs="Arial" w:ascii="Marianne" w:hAnsi="Marianne"/>
                  <w:sz w:val="16"/>
                  <w:szCs w:val="16"/>
                </w:rPr>
                <w:t>article L.5132-4</w:t>
              </w:r>
            </w:hyperlink>
            <w:r>
              <w:rPr>
                <w:rFonts w:cs="Arial" w:ascii="Marianne" w:hAnsi="Marianne"/>
                <w:sz w:val="16"/>
                <w:szCs w:val="16"/>
              </w:rPr>
              <w:t xml:space="preserve"> du code du travail) </w:t>
            </w:r>
            <w:r>
              <w:rPr>
                <w:rFonts w:cs="Arial" w:ascii="Marianne" w:hAnsi="Marianne"/>
              </w:rPr>
              <w:t>ou structure équivalente</w:t>
            </w:r>
          </w:p>
        </w:tc>
        <w:tc>
          <w:tcPr>
            <w:tcW w:w="5248" w:type="dxa"/>
            <w:tcBorders>
              <w:top w:val="single" w:sz="4" w:space="0" w:color="000000"/>
              <w:left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555" w:hRule="atLeast"/>
        </w:trPr>
        <w:tc>
          <w:tcPr>
            <w:tcW w:w="1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5"/>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13" w:name="CaseACocher5"/>
            <w:bookmarkStart w:id="14" w:name="CaseACocher5"/>
            <w:bookmarkEnd w:id="14"/>
            <w:r>
              <w:rPr>
                <w:rFonts w:eastAsia="MS Gothic" w:cs="Arial" w:ascii="Marianne" w:hAnsi="Marianne"/>
              </w:rPr>
            </w:r>
            <w:r>
              <w:rPr>
                <w:rFonts w:eastAsia="MS Gothic" w:cs="Arial" w:ascii="Marianne" w:hAnsi="Marianne"/>
              </w:rPr>
              <w:fldChar w:fldCharType="end"/>
            </w:r>
            <w:bookmarkStart w:id="15" w:name="CaseACocher5_Copie_1_Copie_1"/>
            <w:bookmarkStart w:id="16" w:name="CaseACocher5_Copie_1"/>
            <w:bookmarkStart w:id="17" w:name="CaseACocher5_Copie_1"/>
            <w:bookmarkEnd w:id="15"/>
            <w:bookmarkEnd w:id="16"/>
            <w:bookmarkEnd w:id="17"/>
            <w:r>
              <w:rPr>
                <w:rFonts w:eastAsia="MS Gothic" w:cs="Arial" w:ascii="Marianne" w:hAnsi="Marianne"/>
              </w:rPr>
              <w:t xml:space="preserve"> </w:t>
            </w:r>
            <w:r>
              <w:rPr>
                <w:rFonts w:cs="Arial" w:ascii="Marianne" w:hAnsi="Marianne"/>
              </w:rPr>
              <w:t xml:space="preserve">Entreprise adaptée </w:t>
            </w:r>
            <w:r>
              <w:rPr>
                <w:rFonts w:cs="Arial" w:ascii="Marianne" w:hAnsi="Marianne"/>
                <w:sz w:val="16"/>
                <w:szCs w:val="16"/>
              </w:rPr>
              <w:t>(</w:t>
            </w:r>
            <w:hyperlink r:id="rId26">
              <w:r>
                <w:rPr>
                  <w:rStyle w:val="Hyperlink"/>
                  <w:rFonts w:cs="Arial" w:ascii="Marianne" w:hAnsi="Marianne"/>
                  <w:sz w:val="16"/>
                  <w:szCs w:val="16"/>
                </w:rPr>
                <w:t>article L. 5213-13</w:t>
              </w:r>
            </w:hyperlink>
            <w:r>
              <w:rPr>
                <w:rFonts w:cs="Arial" w:ascii="Marianne" w:hAnsi="Marianne"/>
                <w:sz w:val="16"/>
                <w:szCs w:val="16"/>
              </w:rPr>
              <w:t xml:space="preserve"> du code du travail)</w:t>
            </w:r>
            <w:r>
              <w:rPr>
                <w:rFonts w:ascii="Marianne" w:hAnsi="Marianne"/>
              </w:rPr>
              <w:t xml:space="preserve"> </w:t>
            </w:r>
            <w:r>
              <w:rPr>
                <w:rFonts w:cs="Arial" w:ascii="Marianne" w:hAnsi="Marianne"/>
              </w:rPr>
              <w:t>ou structure équivalente</w:t>
            </w:r>
          </w:p>
        </w:tc>
        <w:tc>
          <w:tcPr>
            <w:tcW w:w="524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4455" w:hRule="atLeast"/>
        </w:trPr>
        <w:tc>
          <w:tcPr>
            <w:tcW w:w="1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6"/>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18" w:name="CaseACocher6"/>
            <w:bookmarkStart w:id="19" w:name="CaseACocher6"/>
            <w:bookmarkEnd w:id="19"/>
            <w:r>
              <w:rPr>
                <w:rFonts w:eastAsia="MS Gothic" w:cs="Arial" w:ascii="Marianne" w:hAnsi="Marianne"/>
              </w:rPr>
            </w:r>
            <w:r>
              <w:rPr>
                <w:rFonts w:eastAsia="MS Gothic" w:cs="Arial" w:ascii="Marianne" w:hAnsi="Marianne"/>
              </w:rPr>
              <w:fldChar w:fldCharType="end"/>
            </w:r>
            <w:bookmarkStart w:id="20" w:name="CaseACocher6_Copie_1_Copie_1"/>
            <w:bookmarkStart w:id="21" w:name="CaseACocher6_Copie_1"/>
            <w:bookmarkStart w:id="22" w:name="CaseACocher6_Copie_1"/>
            <w:bookmarkEnd w:id="20"/>
            <w:bookmarkEnd w:id="21"/>
            <w:bookmarkEnd w:id="22"/>
            <w:r>
              <w:rPr>
                <w:rFonts w:eastAsia="MS Gothic" w:cs="Arial" w:ascii="Marianne" w:hAnsi="Marianne"/>
              </w:rPr>
              <w:t xml:space="preserve"> </w:t>
            </w:r>
            <w:r>
              <w:rPr>
                <w:rFonts w:cs="Arial" w:ascii="Marianne" w:hAnsi="Marianne"/>
              </w:rPr>
              <w:t xml:space="preserve">Etablissement et service d’aide pas le travail </w:t>
            </w:r>
            <w:r>
              <w:rPr>
                <w:rFonts w:cs="Arial" w:ascii="Marianne" w:hAnsi="Marianne"/>
                <w:sz w:val="16"/>
              </w:rPr>
              <w:t>(</w:t>
            </w:r>
            <w:hyperlink r:id="rId27">
              <w:r>
                <w:rPr>
                  <w:rStyle w:val="Hyperlink"/>
                  <w:rFonts w:cs="Arial" w:ascii="Marianne" w:hAnsi="Marianne"/>
                  <w:sz w:val="16"/>
                  <w:szCs w:val="16"/>
                </w:rPr>
                <w:t>articles L. 344-2 et s</w:t>
              </w:r>
            </w:hyperlink>
            <w:r>
              <w:rPr>
                <w:rFonts w:cs="Arial" w:ascii="Marianne" w:hAnsi="Marianne"/>
                <w:sz w:val="16"/>
                <w:szCs w:val="16"/>
              </w:rPr>
              <w:t>. du code de l’action sociale et des familles)</w:t>
            </w:r>
            <w:r>
              <w:rPr>
                <w:rFonts w:cs="Arial" w:ascii="Marianne" w:hAnsi="Marianne"/>
              </w:rPr>
              <w:t xml:space="preserve">  ou</w:t>
            </w:r>
            <w:r>
              <w:rPr>
                <w:rFonts w:eastAsia="MS Gothic" w:cs="Arial" w:ascii="Marianne" w:hAnsi="Marianne"/>
              </w:rPr>
              <w:t xml:space="preserve"> s</w:t>
            </w:r>
            <w:r>
              <w:rPr>
                <w:rFonts w:cs="Arial" w:ascii="Marianne" w:hAnsi="Marianne"/>
              </w:rPr>
              <w:t>tructure équivalente</w:t>
            </w:r>
          </w:p>
        </w:tc>
        <w:tc>
          <w:tcPr>
            <w:tcW w:w="524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7"/>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8"/>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1785" w:hRule="atLeast"/>
        </w:trPr>
        <w:tc>
          <w:tcPr>
            <w:tcW w:w="1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entreprises de l’économie sociale et solidaire</w:t>
            </w:r>
            <w:r>
              <w:rPr>
                <w:rFonts w:cs="Arial" w:ascii="Marianne" w:hAnsi="Marianne"/>
              </w:rPr>
              <w:t xml:space="preserve"> </w:t>
            </w:r>
            <w:r>
              <w:rPr>
                <w:rFonts w:cs="Arial" w:ascii="Marianne" w:hAnsi="Marianne"/>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1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23" w:name="CaseACocher15"/>
            <w:bookmarkStart w:id="24" w:name="CaseACocher15"/>
            <w:bookmarkEnd w:id="24"/>
            <w:r>
              <w:rPr>
                <w:rFonts w:cs="Arial" w:ascii="Marianne" w:hAnsi="Marianne"/>
              </w:rPr>
            </w:r>
            <w:r>
              <w:rPr>
                <w:rFonts w:cs="Arial" w:ascii="Marianne" w:hAnsi="Marianne"/>
              </w:rPr>
              <w:fldChar w:fldCharType="end"/>
            </w:r>
            <w:bookmarkStart w:id="25" w:name="CaseACocher15_Copie_1_Copie_1"/>
            <w:bookmarkStart w:id="26" w:name="CaseACocher15_Copie_1"/>
            <w:bookmarkStart w:id="27" w:name="CaseACocher15_Copie_1"/>
            <w:bookmarkEnd w:id="25"/>
            <w:bookmarkEnd w:id="26"/>
            <w:bookmarkEnd w:id="27"/>
            <w:r>
              <w:rPr>
                <w:rFonts w:cs="Arial" w:ascii="Marianne" w:hAnsi="Marianne"/>
              </w:rPr>
              <w:t xml:space="preserve"> Entreprise de l’économie sociale et solidaire </w:t>
            </w:r>
            <w:r>
              <w:rPr>
                <w:rFonts w:cs="Arial" w:ascii="Marianne" w:hAnsi="Marianne"/>
                <w:sz w:val="16"/>
                <w:szCs w:val="16"/>
              </w:rPr>
              <w:t>(</w:t>
            </w:r>
            <w:hyperlink r:id="rId28">
              <w:r>
                <w:rPr>
                  <w:rStyle w:val="Hyperlink"/>
                  <w:rFonts w:cs="Arial" w:ascii="Marianne" w:hAnsi="Marianne"/>
                  <w:sz w:val="16"/>
                  <w:szCs w:val="16"/>
                </w:rPr>
                <w:t>article 1</w:t>
              </w:r>
              <w:r>
                <w:rPr>
                  <w:rStyle w:val="Hyperlink"/>
                  <w:rFonts w:cs="Arial" w:ascii="Marianne" w:hAnsi="Marianne"/>
                  <w:sz w:val="16"/>
                  <w:szCs w:val="16"/>
                  <w:vertAlign w:val="superscript"/>
                </w:rPr>
                <w:t>er</w:t>
              </w:r>
            </w:hyperlink>
            <w:r>
              <w:rPr>
                <w:rFonts w:cs="Arial" w:ascii="Marianne" w:hAnsi="Marianne"/>
                <w:sz w:val="16"/>
                <w:szCs w:val="16"/>
              </w:rPr>
              <w:t xml:space="preserve"> de la loi 2014-856 du 31 juillet 2014) </w:t>
            </w:r>
            <w:r>
              <w:rPr>
                <w:rFonts w:cs="Arial" w:ascii="Marianne" w:hAnsi="Marianne"/>
              </w:rPr>
              <w:t>ou structure équivalente</w:t>
            </w:r>
          </w:p>
        </w:tc>
        <w:tc>
          <w:tcPr>
            <w:tcW w:w="524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615" w:hRule="atLeast"/>
        </w:trPr>
        <w:tc>
          <w:tcPr>
            <w:tcW w:w="1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b/>
              </w:rPr>
            </w:pPr>
            <w:r>
              <w:rPr>
                <w:rFonts w:cs="Arial" w:ascii="Marianne" w:hAnsi="Marianne"/>
                <w:b/>
              </w:rPr>
              <w:t>Marché réservé pénitentiaire</w:t>
            </w:r>
            <w:r>
              <w:rPr>
                <w:rFonts w:cs="Arial" w:ascii="Marianne" w:hAnsi="Marianne"/>
              </w:rPr>
              <w:t xml:space="preserve"> </w:t>
            </w:r>
            <w:r>
              <w:rPr>
                <w:rFonts w:cs="Arial" w:ascii="Marianne" w:hAnsi="Marianne"/>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8"/>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28" w:name="CaseACocher8"/>
            <w:bookmarkStart w:id="29" w:name="CaseACocher8"/>
            <w:bookmarkEnd w:id="29"/>
            <w:r>
              <w:rPr>
                <w:rFonts w:eastAsia="MS Gothic" w:cs="Arial" w:ascii="Marianne" w:hAnsi="Marianne"/>
              </w:rPr>
            </w:r>
            <w:r>
              <w:rPr>
                <w:rFonts w:eastAsia="MS Gothic" w:cs="Arial" w:ascii="Marianne" w:hAnsi="Marianne"/>
              </w:rPr>
              <w:fldChar w:fldCharType="end"/>
            </w:r>
            <w:bookmarkStart w:id="30" w:name="CaseACocher8_Copie_1_Copie_1"/>
            <w:bookmarkStart w:id="31" w:name="CaseACocher8_Copie_1"/>
            <w:bookmarkStart w:id="32" w:name="CaseACocher8_Copie_1"/>
            <w:bookmarkEnd w:id="30"/>
            <w:bookmarkEnd w:id="31"/>
            <w:bookmarkEnd w:id="32"/>
            <w:r>
              <w:rPr>
                <w:rFonts w:eastAsia="MS Gothic" w:cs="Arial" w:ascii="Marianne" w:hAnsi="Marianne"/>
              </w:rPr>
              <w:t xml:space="preserve"> </w:t>
            </w:r>
            <w:r>
              <w:rPr>
                <w:rFonts w:cs="Arial" w:ascii="Marianne" w:hAnsi="Marianne"/>
              </w:rPr>
              <w:t>Opérateur économique prévoyant d’exécuter le marché dans le cadre d’activités de production de biens et de services réalisés en établissement pénitentiaire</w:t>
            </w:r>
          </w:p>
        </w:tc>
        <w:tc>
          <w:tcPr>
            <w:tcW w:w="524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keepNext w:val="true"/>
        <w:jc w:val="both"/>
        <w:rPr>
          <w:rFonts w:ascii="Marianne" w:hAnsi="Marianne" w:cs="Arial"/>
          <w:b/>
          <w:bCs/>
          <w:sz w:val="22"/>
          <w:szCs w:val="22"/>
        </w:rPr>
      </w:pPr>
      <w:r>
        <w:rPr>
          <w:rFonts w:cs="Arial" w:ascii="Marianne" w:hAnsi="Marianne"/>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r>
    </w:p>
    <w:p>
      <w:pPr>
        <w:pStyle w:val="Header"/>
        <w:keepNext w:val="true"/>
        <w:tabs>
          <w:tab w:val="clear" w:pos="4536"/>
          <w:tab w:val="clear" w:pos="9072"/>
          <w:tab w:val="left" w:pos="0" w:leader="none"/>
          <w:tab w:val="left" w:pos="2160" w:leader="none"/>
        </w:tabs>
        <w:jc w:val="both"/>
        <w:rPr>
          <w:rFonts w:ascii="Marianne" w:hAnsi="Marianne" w:cs="Arial"/>
          <w:i/>
          <w:i/>
          <w:iCs/>
          <w:sz w:val="18"/>
          <w:szCs w:val="18"/>
        </w:rPr>
      </w:pPr>
      <w:r>
        <w:rPr>
          <w:rFonts w:ascii="Wingdings" w:hAnsi="Wingdings"/>
          <w:color w:val="66CCFF"/>
          <w:spacing w:val="-10"/>
          <w:position w:val="-1"/>
          <w:sz w:val="22"/>
        </w:rPr>
        <w:t></w:t>
      </w:r>
      <w:r>
        <w:rPr>
          <w:rFonts w:cs="Arial" w:ascii="Marianne" w:hAnsi="Marianne"/>
          <w:i/>
          <w:iCs/>
          <w:szCs w:val="18"/>
        </w:rPr>
        <w:t>1. Lorsque le candidat est inscrit sur une liste officielle d’opérateurs économiques agréés au sens de l’</w:t>
      </w:r>
      <w:hyperlink r:id="rId29">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2143-15</w:t>
        </w:r>
      </w:hyperlink>
      <w:r>
        <w:rPr>
          <w:rFonts w:cs="Arial" w:ascii="Marianne" w:hAnsi="Marianne"/>
          <w:i/>
          <w:iCs/>
          <w:szCs w:val="18"/>
        </w:rPr>
        <w:t xml:space="preserve"> du code de la commande publique </w:t>
      </w:r>
      <w:r>
        <w:rPr>
          <w:rFonts w:cs="Arial" w:ascii="Marianne" w:hAnsi="Marianne"/>
          <w:b/>
          <w:i/>
          <w:iCs/>
          <w:szCs w:val="18"/>
        </w:rPr>
        <w:t>et</w:t>
      </w:r>
      <w:r>
        <w:rPr>
          <w:rFonts w:cs="Arial" w:ascii="Marianne" w:hAnsi="Marianne"/>
          <w:i/>
          <w:iCs/>
          <w:szCs w:val="18"/>
        </w:rPr>
        <w:t xml:space="preserve"> que l’acheteur est un pouvoir adjudicateur ou au sens de des </w:t>
      </w:r>
      <w:hyperlink r:id="rId30">
        <w:r>
          <w:rPr>
            <w:rStyle w:val="Hyperlink"/>
            <w:rFonts w:cs="Arial" w:ascii="Marianne" w:hAnsi="Marianne"/>
            <w:i/>
            <w:iCs/>
            <w:szCs w:val="18"/>
          </w:rPr>
          <w:t>articles</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 xml:space="preserve">2343-16 </w:t>
        </w:r>
        <w:r>
          <w:rPr>
            <w:rStyle w:val="Hyperlink"/>
            <w:rFonts w:cs="Marianne" w:ascii="Marianne" w:hAnsi="Marianne"/>
            <w:i/>
            <w:iCs/>
            <w:szCs w:val="18"/>
          </w:rPr>
          <w:t>à</w:t>
        </w:r>
        <w:r>
          <w:rPr>
            <w:rStyle w:val="Hyperlink"/>
            <w:rFonts w:cs="Arial" w:ascii="Marianne" w:hAnsi="Marianne"/>
            <w:i/>
            <w:iCs/>
            <w:szCs w:val="18"/>
          </w:rPr>
          <w:t xml:space="preserve"> R.</w:t>
        </w:r>
        <w:r>
          <w:rPr>
            <w:rStyle w:val="Hyperlink"/>
            <w:rFonts w:cs="Calibri" w:ascii="Calibri" w:hAnsi="Calibri"/>
            <w:i/>
            <w:iCs/>
            <w:szCs w:val="18"/>
          </w:rPr>
          <w:t> </w:t>
        </w:r>
        <w:r>
          <w:rPr>
            <w:rStyle w:val="Hyperlink"/>
            <w:rFonts w:cs="Arial" w:ascii="Marianne" w:hAnsi="Marianne"/>
            <w:i/>
            <w:iCs/>
            <w:szCs w:val="18"/>
          </w:rPr>
          <w:t>2343-17</w:t>
        </w:r>
      </w:hyperlink>
      <w:r>
        <w:rPr>
          <w:rFonts w:cs="Arial" w:ascii="Marianne" w:hAnsi="Marianne"/>
          <w:i/>
          <w:iCs/>
          <w:szCs w:val="18"/>
        </w:rPr>
        <w:t xml:space="preserve"> du même code, que l’acheteur soit un pouvoir adjudicateur ou une entité adjudicatrice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6"/>
          <w:szCs w:val="16"/>
        </w:rPr>
      </w:pPr>
      <w:r>
        <w:rPr>
          <w:rFonts w:cs="Arial" w:ascii="Marianne" w:hAnsi="Marianne"/>
          <w:i/>
          <w:iCs/>
          <w:sz w:val="16"/>
          <w:szCs w:val="16"/>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Indication du nom de la liste officielle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Références sur lesquelles l’inscription ou la certification est basée et, le cas échéant, la classification sur la liste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
          <w:i/>
          <w:iCs/>
          <w:sz w:val="14"/>
          <w:szCs w:val="18"/>
        </w:rPr>
      </w:pPr>
      <w:r>
        <w:rPr>
          <w:rFonts w:cs="Arial" w:ascii="Marianne" w:hAnsi="Marianne"/>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t>- Adresse internet</w:t>
      </w:r>
      <w:r>
        <w:rPr>
          <w:rFonts w:cs="Calibri" w:ascii="Calibri" w:hAnsi="Calibri"/>
          <w:iCs/>
          <w:sz w:val="16"/>
          <w:szCs w:val="18"/>
        </w:rPr>
        <w:t> </w:t>
      </w:r>
      <w:r>
        <w:rPr>
          <w:rFonts w:cs="Arial" w:ascii="Marianne" w:hAnsi="Marianne"/>
          <w:iCs/>
          <w:sz w:val="16"/>
          <w:szCs w:val="18"/>
        </w:rPr>
        <w:t>:</w:t>
      </w:r>
    </w:p>
    <w:p>
      <w:pPr>
        <w:pStyle w:val="Header"/>
        <w:ind w:left="993"/>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t>- Renseignements nécessaires pour y accéder</w:t>
      </w:r>
      <w:r>
        <w:rPr>
          <w:rFonts w:cs="Calibri" w:ascii="Calibri" w:hAnsi="Calibri"/>
          <w:iCs/>
          <w:sz w:val="16"/>
          <w:szCs w:val="18"/>
        </w:rPr>
        <w:t> </w:t>
      </w:r>
      <w:r>
        <w:rPr>
          <w:rFonts w:cs="Arial" w:ascii="Marianne" w:hAnsi="Marianne"/>
          <w:iCs/>
          <w:sz w:val="16"/>
          <w:szCs w:val="18"/>
        </w:rPr>
        <w:t>:</w:t>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clear" w:pos="4536"/>
          <w:tab w:val="clear" w:pos="9072"/>
          <w:tab w:val="left" w:pos="0" w:leader="none"/>
          <w:tab w:val="left" w:pos="2160" w:leader="none"/>
        </w:tabs>
        <w:jc w:val="both"/>
        <w:rPr>
          <w:rFonts w:ascii="Marianne" w:hAnsi="Marianne" w:cs="Arial"/>
          <w:i/>
          <w:i/>
          <w:iCs/>
          <w:szCs w:val="18"/>
        </w:rPr>
      </w:pPr>
      <w:r>
        <w:rPr>
          <w:rFonts w:ascii="Wingdings" w:hAnsi="Wingdings"/>
          <w:color w:val="66CCFF"/>
          <w:spacing w:val="-10"/>
          <w:position w:val="-1"/>
          <w:sz w:val="22"/>
        </w:rPr>
        <w:t></w:t>
      </w:r>
      <w:r>
        <w:rPr>
          <w:rFonts w:eastAsia="Arial"/>
          <w:i/>
          <w:spacing w:val="-10"/>
          <w:position w:val="-1"/>
          <w:sz w:val="22"/>
        </w:rPr>
        <w:t> </w:t>
      </w:r>
      <w:r>
        <w:rPr>
          <w:rFonts w:cs="Arial" w:ascii="Marianne" w:hAnsi="Marianne"/>
          <w:i/>
          <w:iCs/>
          <w:szCs w:val="18"/>
        </w:rPr>
        <w:t xml:space="preserve">2. Lorsque le marché public n’est pas un marché de défense ou de sécurité </w:t>
      </w:r>
      <w:r>
        <w:rPr>
          <w:rFonts w:cs="Arial" w:ascii="Marianne" w:hAnsi="Marianne"/>
          <w:b/>
          <w:i/>
          <w:iCs/>
          <w:szCs w:val="18"/>
        </w:rPr>
        <w:t>et</w:t>
      </w:r>
      <w:r>
        <w:rPr>
          <w:rFonts w:cs="Arial" w:ascii="Marianne" w:hAnsi="Marianne"/>
          <w:i/>
          <w:iCs/>
          <w:szCs w:val="18"/>
        </w:rPr>
        <w:t xml:space="preserve"> que l’acheteur a autorisé les candidats à se limiter à indiquer qu’ils disposent de l’aptitude et des capacités requises en application du second alinéa de l’</w:t>
      </w:r>
      <w:hyperlink r:id="rId31">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2143-4</w:t>
        </w:r>
      </w:hyperlink>
      <w:r>
        <w:rPr>
          <w:rFonts w:cs="Arial" w:ascii="Marianne" w:hAnsi="Marianne"/>
          <w:i/>
          <w:iCs/>
          <w:szCs w:val="18"/>
        </w:rPr>
        <w:t xml:space="preserve"> du code de la commande publique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567"/>
        <w:jc w:val="both"/>
        <w:rPr>
          <w:rFonts w:ascii="Marianne" w:hAnsi="Marianne" w:cs="Arial"/>
          <w:sz w:val="18"/>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3" w:name="Bookmark_Copie_2"/>
      <w:bookmarkStart w:id="34" w:name="Bookmark_Copie_2"/>
      <w:bookmarkEnd w:id="34"/>
      <w:r>
        <w:rPr>
          <w:rFonts w:ascii="Marianne" w:hAnsi="Marianne"/>
        </w:rPr>
      </w:r>
      <w:r>
        <w:rPr>
          <w:rFonts w:ascii="Marianne" w:hAnsi="Marianne"/>
        </w:rPr>
        <w:fldChar w:fldCharType="end"/>
      </w:r>
      <w:bookmarkStart w:id="35" w:name="Bookmark_Copie_2_Copie_1"/>
      <w:bookmarkStart w:id="36" w:name="Bookmark_Copie_2"/>
      <w:bookmarkEnd w:id="35"/>
      <w:bookmarkEnd w:id="36"/>
      <w:r>
        <w:rPr>
          <w:rFonts w:cs="Arial" w:ascii="Marianne" w:hAnsi="Marianne"/>
          <w:bCs/>
        </w:rPr>
        <w:t xml:space="preserve"> </w:t>
      </w:r>
      <w:r>
        <w:rPr>
          <w:rFonts w:cs="Arial" w:ascii="Marianne" w:hAnsi="Marianne"/>
          <w:sz w:val="18"/>
        </w:rPr>
        <w:t>Le candidat déclare sur l’honneur satisfaire à l’ensemble des conditions de participation requises par l’acheteur.</w:t>
      </w:r>
    </w:p>
    <w:p>
      <w:pPr>
        <w:pStyle w:val="Normal"/>
        <w:ind w:left="567"/>
        <w:jc w:val="both"/>
        <w:rPr>
          <w:rFonts w:ascii="Marianne" w:hAnsi="Marianne" w:cs="Arial"/>
          <w:sz w:val="18"/>
        </w:rPr>
      </w:pPr>
      <w:r>
        <w:rPr>
          <w:rFonts w:cs="Arial" w:ascii="Marianne" w:hAnsi="Marianne"/>
          <w:i/>
          <w:sz w:val="16"/>
          <w:szCs w:val="18"/>
        </w:rPr>
        <w:t>(</w:t>
      </w:r>
      <w:r>
        <w:rPr>
          <w:rFonts w:cs="Arial" w:ascii="Marianne" w:hAnsi="Marianne"/>
          <w:bCs/>
          <w:i/>
          <w:iCs/>
          <w:sz w:val="16"/>
          <w:szCs w:val="18"/>
        </w:rPr>
        <w:t>Dans ce cas, il est inutile de remplir les rubriques suivantes du présent formulaire</w:t>
      </w:r>
      <w:r>
        <w:rPr>
          <w:rFonts w:cs="Calibri" w:ascii="Calibri" w:hAnsi="Calibri"/>
          <w:bCs/>
          <w:i/>
          <w:iCs/>
          <w:sz w:val="16"/>
          <w:szCs w:val="18"/>
        </w:rPr>
        <w:t> </w:t>
      </w:r>
      <w:r>
        <w:rPr>
          <w:rFonts w:cs="Arial" w:ascii="Marianne" w:hAnsi="Marianne"/>
          <w:bCs/>
          <w:i/>
          <w:iCs/>
          <w:sz w:val="16"/>
          <w:szCs w:val="18"/>
        </w:rPr>
        <w:t>; le remplissage du formulaire est terminé)</w:t>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D - Renseignements relatifs à la situation administrative ou juridique du candidat individuel ou du membre du groupement.</w:t>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576" w:leader="none"/>
          <w:tab w:val="right" w:pos="7200" w:leader="none"/>
          <w:tab w:val="right" w:pos="10080" w:leader="dot"/>
        </w:tabs>
        <w:jc w:val="both"/>
        <w:rPr>
          <w:rFonts w:ascii="Arial" w:hAnsi="Arial" w:cs="Arial"/>
          <w:i/>
          <w:i/>
        </w:rPr>
      </w:pPr>
      <w:r>
        <w:rPr>
          <w:rFonts w:cs="Arial" w:ascii="Arial" w:hAnsi="Arial"/>
          <w:b/>
          <w:bCs/>
        </w:rPr>
        <w:t>Le candidat fait-il l’objet d’une procédure de redressement judiciaire ou d’une procédure étrangère équivalente ?</w:t>
      </w:r>
    </w:p>
    <w:p>
      <w:pPr>
        <w:pStyle w:val="Normal"/>
        <w:spacing w:before="120" w:after="120"/>
        <w:rPr>
          <w:rFonts w:ascii="Arial" w:hAnsi="Arial" w:cs="Arial"/>
        </w:rPr>
      </w:pPr>
      <w:r>
        <w:rPr>
          <w:rFonts w:cs="Arial" w:ascii="Arial" w:hAnsi="Arial"/>
          <w:i/>
        </w:rPr>
        <w:t>(Cocher la case correspondante.)</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 xml:space="preserve"> NON  </w:t>
      </w:r>
      <w:r>
        <w:fldChar w:fldCharType="begin">
          <w:ffData>
            <w:name w:val="Bookmark Copie 3"/>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7" w:name="Bookmark_Copie_3"/>
      <w:bookmarkStart w:id="38" w:name="Bookmark_Copie_3"/>
      <w:bookmarkEnd w:id="38"/>
      <w:r>
        <w:rPr>
          <w:rFonts w:cs="Arial" w:ascii="Arial" w:hAnsi="Arial"/>
        </w:rPr>
      </w:r>
      <w:r>
        <w:rPr>
          <w:rFonts w:cs="Arial" w:ascii="Arial" w:hAnsi="Arial"/>
        </w:rPr>
        <w:fldChar w:fldCharType="end"/>
      </w:r>
      <w:bookmarkStart w:id="39" w:name="Bookmark_Copie_3_Copie_1"/>
      <w:bookmarkStart w:id="40" w:name="Bookmark_Copie_3"/>
      <w:bookmarkEnd w:id="39"/>
      <w:bookmarkEnd w:id="40"/>
      <w:r>
        <w:rPr>
          <w:rFonts w:cs="Arial" w:ascii="Arial" w:hAnsi="Arial"/>
        </w:rPr>
        <w:t xml:space="preserve">  </w:t>
        <w:tab/>
        <w:t xml:space="preserve">OUI  </w:t>
      </w:r>
      <w:r>
        <w:fldChar w:fldCharType="begin">
          <w:ffData>
            <w:name w:val="Bookmark Copie 4"/>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1" w:name="Bookmark_Copie_4"/>
      <w:bookmarkStart w:id="42" w:name="Bookmark_Copie_4"/>
      <w:bookmarkEnd w:id="42"/>
      <w:r>
        <w:rPr>
          <w:rFonts w:cs="Arial" w:ascii="Arial" w:hAnsi="Arial"/>
        </w:rPr>
      </w:r>
      <w:r>
        <w:rPr>
          <w:rFonts w:cs="Arial" w:ascii="Arial" w:hAnsi="Arial"/>
        </w:rPr>
        <w:fldChar w:fldCharType="end"/>
      </w:r>
      <w:bookmarkStart w:id="43" w:name="Bookmark_Copie_4_Copie_1"/>
      <w:bookmarkStart w:id="44" w:name="Bookmark_Copie_4"/>
      <w:bookmarkEnd w:id="43"/>
      <w:bookmarkEnd w:id="44"/>
      <w:r>
        <w:rPr/>
        <w:t xml:space="preserve">  </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ab/>
      </w:r>
      <w:r>
        <w:rPr>
          <w:rFonts w:cs="Arial" w:ascii="Arial" w:hAnsi="Arial"/>
          <w:i/>
          <w:iCs/>
        </w:rPr>
        <w:t>(Dans l’affirmative, joindre la copie du jugement correspondant.)</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E - Renseignements relatifs à l’aptitude à exercer l’activité professionnelle concernée par le contrat</w:t>
            </w:r>
            <w:bookmarkStart w:id="45" w:name="_Hlk167788990"/>
            <w:bookmarkEnd w:id="45"/>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center"/>
        <w:rPr>
          <w:rFonts w:ascii="Marianne" w:hAnsi="Marianne" w:cs="Arial"/>
          <w:i/>
          <w:i/>
          <w:iCs/>
          <w:szCs w:val="18"/>
        </w:rPr>
      </w:pPr>
      <w:r>
        <w:rPr>
          <w:rFonts w:cs="Arial" w:ascii="Marianne" w:hAnsi="Marianne"/>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Marianne" w:hAnsi="Marianne" w:cs="Arial"/>
          <w:b/>
          <w:bCs/>
          <w:sz w:val="22"/>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sz w:val="18"/>
        </w:rPr>
      </w:pPr>
      <w:r>
        <w:rPr>
          <w:rFonts w:cs="Arial" w:ascii="Marianne" w:hAnsi="Marianne"/>
          <w:sz w:val="18"/>
        </w:rPr>
      </w:r>
    </w:p>
    <w:p>
      <w:pPr>
        <w:pStyle w:val="Normal"/>
        <w:ind w:left="284"/>
        <w:jc w:val="both"/>
        <w:rPr>
          <w:rFonts w:ascii="Marianne" w:hAnsi="Marianne" w:cs="Arial"/>
          <w:sz w:val="16"/>
        </w:rPr>
      </w:pPr>
      <w:r>
        <w:rPr>
          <w:rFonts w:cs="Arial" w:ascii="Marianne" w:hAnsi="Marianne"/>
          <w:sz w:val="16"/>
        </w:rPr>
        <w:t>- Adresse(s) internet</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tbl>
      <w:tblPr>
        <w:tblW w:w="9994"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économique et financière.</w:t>
        <w:br/>
      </w:r>
      <w:r>
        <w:rPr>
          <w:rFonts w:cs="Arial" w:ascii="Marianne" w:hAnsi="Marianne"/>
          <w:i/>
          <w:iCs/>
          <w:sz w:val="16"/>
          <w:szCs w:val="18"/>
        </w:rPr>
        <w:t>(En cas de MDS, les documents de preuve sont à fournir avec la candidature, sauf cas particulier de la rubrique F4)</w:t>
      </w:r>
    </w:p>
    <w:p>
      <w:pPr>
        <w:pStyle w:val="Normal"/>
        <w:ind w:left="284"/>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rFonts w:ascii="Marianne" w:hAnsi="Marianne" w:cs="Arial"/>
          <w:iC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9792" w:type="dxa"/>
        <w:jc w:val="left"/>
        <w:tblInd w:w="60" w:type="dxa"/>
        <w:tblLayout w:type="fixed"/>
        <w:tblCellMar>
          <w:top w:w="0" w:type="dxa"/>
          <w:left w:w="71" w:type="dxa"/>
          <w:bottom w:w="0" w:type="dxa"/>
          <w:right w:w="71" w:type="dxa"/>
        </w:tblCellMar>
        <w:tblLook w:firstRow="0" w:noVBand="0" w:lastRow="0" w:firstColumn="0" w:lastColumn="0" w:noHBand="0" w:val="000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shd w:color="auto" w:fill="auto" w:val="clear"/>
          </w:tcPr>
          <w:p>
            <w:pPr>
              <w:pStyle w:val="Normal"/>
              <w:tabs>
                <w:tab w:val="clear" w:pos="567"/>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564"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096" w:type="dxa"/>
            <w:tcBorders>
              <w:top w:val="single" w:sz="8" w:space="0" w:color="000000"/>
              <w:left w:val="single" w:sz="4"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566" w:type="dxa"/>
            <w:tcBorders>
              <w:top w:val="single" w:sz="4" w:space="0" w:color="000000"/>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565" w:type="dxa"/>
            <w:tcBorders>
              <w:left w:val="single" w:sz="4"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566"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rPr>
            </w:pPr>
            <w:r>
              <w:rPr>
                <w:rFonts w:cs="Arial" w:ascii="Marianne" w:hAnsi="Marianne"/>
                <w:sz w:val="16"/>
                <w:szCs w:val="16"/>
              </w:rPr>
              <w:t>%</w:t>
            </w:r>
          </w:p>
        </w:tc>
      </w:tr>
    </w:tbl>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ind w:left="567"/>
        <w:jc w:val="both"/>
        <w:rPr>
          <w:rFonts w:ascii="Marianne" w:hAnsi="Marianne" w:cs="Arial"/>
        </w:rPr>
      </w:pPr>
      <w:r>
        <w:rPr>
          <w:rFonts w:cs="Arial" w:ascii="Marianne" w:hAnsi="Marianne"/>
        </w:rPr>
        <w:t>……</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F2 – Autres informations requises par l’acheteur au titre de la capacité économique et financière</w:t>
      </w:r>
    </w:p>
    <w:p>
      <w:pPr>
        <w:pStyle w:val="Normal"/>
        <w:jc w:val="both"/>
        <w:rPr>
          <w:rFonts w:ascii="Marianne" w:hAnsi="Marianne" w:cs="Arial"/>
          <w:i/>
          <w:i/>
          <w:sz w:val="18"/>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F3 – Pour les marchés publics de travaux</w:t>
      </w:r>
    </w:p>
    <w:p>
      <w:pPr>
        <w:pStyle w:val="Normal"/>
        <w:tabs>
          <w:tab w:val="clear" w:pos="567"/>
          <w:tab w:val="left" w:pos="864" w:leader="none"/>
        </w:tabs>
        <w:jc w:val="both"/>
        <w:rPr>
          <w:rFonts w:ascii="Marianne" w:hAnsi="Marianne" w:cs="Arial"/>
        </w:rPr>
      </w:pPr>
      <w:r>
        <w:rPr>
          <w:rFonts w:cs="Arial" w:ascii="Marianne" w:hAnsi="Marianne"/>
        </w:rPr>
      </w:r>
    </w:p>
    <w:p>
      <w:pPr>
        <w:pStyle w:val="Normal"/>
        <w:ind w:left="567"/>
        <w:jc w:val="both"/>
        <w:rPr>
          <w:rFonts w:ascii="Marianne" w:hAnsi="Marianne" w:cs="Arial"/>
          <w:sz w:val="18"/>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6" w:name="Bookmark_Copie_5"/>
      <w:bookmarkStart w:id="47" w:name="Bookmark_Copie_5"/>
      <w:bookmarkEnd w:id="47"/>
      <w:r>
        <w:rPr>
          <w:rFonts w:ascii="Marianne" w:hAnsi="Marianne"/>
        </w:rPr>
      </w:r>
      <w:r>
        <w:rPr>
          <w:rFonts w:ascii="Marianne" w:hAnsi="Marianne"/>
        </w:rPr>
        <w:fldChar w:fldCharType="end"/>
      </w:r>
      <w:bookmarkStart w:id="48" w:name="Bookmark_Copie_5_Copie_1"/>
      <w:bookmarkStart w:id="49" w:name="Bookmark_Copie_5"/>
      <w:bookmarkEnd w:id="48"/>
      <w:bookmarkEnd w:id="49"/>
      <w:r>
        <w:rPr>
          <w:rFonts w:cs="Arial" w:ascii="Marianne" w:hAnsi="Marianne"/>
          <w:bCs/>
        </w:rPr>
        <w:t xml:space="preserve"> </w:t>
      </w:r>
      <w:r>
        <w:rPr>
          <w:rFonts w:cs="Arial" w:ascii="Marianne" w:hAnsi="Marianne"/>
          <w:sz w:val="18"/>
        </w:rPr>
        <w:t>En cochant cette case, le candidat déclare qu’il aura souscrit un contrat d’assurance le couvrant au regard de la responsabilité décennale (</w:t>
      </w:r>
      <w:hyperlink r:id="rId33">
        <w:r>
          <w:rPr>
            <w:rStyle w:val="Hyperlink"/>
            <w:rFonts w:cs="Arial" w:ascii="Marianne" w:hAnsi="Marianne"/>
            <w:sz w:val="18"/>
          </w:rPr>
          <w:t>article</w:t>
        </w:r>
        <w:r>
          <w:rPr>
            <w:rStyle w:val="Hyperlink"/>
            <w:rFonts w:cs="Calibri" w:ascii="Calibri" w:hAnsi="Calibri"/>
            <w:sz w:val="18"/>
          </w:rPr>
          <w:t> </w:t>
        </w:r>
        <w:r>
          <w:rPr>
            <w:rStyle w:val="Hyperlink"/>
            <w:rFonts w:cs="Arial" w:ascii="Marianne" w:hAnsi="Marianne"/>
            <w:sz w:val="18"/>
          </w:rPr>
          <w:t>L.</w:t>
        </w:r>
        <w:r>
          <w:rPr>
            <w:rStyle w:val="Hyperlink"/>
            <w:rFonts w:cs="Calibri" w:ascii="Calibri" w:hAnsi="Calibri"/>
            <w:sz w:val="18"/>
          </w:rPr>
          <w:t> </w:t>
        </w:r>
        <w:r>
          <w:rPr>
            <w:rStyle w:val="Hyperlink"/>
            <w:rFonts w:cs="Arial" w:ascii="Marianne" w:hAnsi="Marianne"/>
            <w:sz w:val="18"/>
          </w:rPr>
          <w:t>241-1</w:t>
        </w:r>
      </w:hyperlink>
      <w:r>
        <w:rPr>
          <w:rFonts w:cs="Arial" w:ascii="Marianne" w:hAnsi="Marianne"/>
          <w:sz w:val="18"/>
        </w:rPr>
        <w:t xml:space="preserve"> du code des assurances).</w:t>
      </w:r>
    </w:p>
    <w:p>
      <w:pPr>
        <w:pStyle w:val="Header"/>
        <w:tabs>
          <w:tab w:val="clear" w:pos="4536"/>
          <w:tab w:val="clear" w:pos="9072"/>
          <w:tab w:val="left" w:pos="2160" w:leader="none"/>
        </w:tabs>
        <w:ind w:left="567"/>
        <w:jc w:val="both"/>
        <w:rPr>
          <w:rFonts w:ascii="Marianne" w:hAnsi="Marianne" w:cs="Arial"/>
          <w:i/>
          <w:i/>
          <w:iCs/>
          <w:sz w:val="18"/>
          <w:szCs w:val="18"/>
        </w:rPr>
      </w:pPr>
      <w:r>
        <w:rPr>
          <w:rFonts w:cs="Arial" w:ascii="Marianne" w:hAnsi="Marianne"/>
          <w:i/>
          <w:iCs/>
          <w:sz w:val="18"/>
          <w:szCs w:val="18"/>
        </w:rPr>
        <w:t>(</w:t>
      </w:r>
      <w:r>
        <w:rPr>
          <w:rFonts w:cs="Arial" w:ascii="Marianne" w:hAnsi="Marianne"/>
          <w:i/>
          <w:iCs/>
          <w:sz w:val="18"/>
          <w:szCs w:val="18"/>
          <w:u w:val="single"/>
        </w:rPr>
        <w:t>Y compris en cas de MDS</w:t>
      </w:r>
      <w:r>
        <w:rPr>
          <w:rFonts w:cs="Arial" w:ascii="Marianne" w:hAnsi="Marianne"/>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567"/>
          <w:tab w:val="left" w:pos="864" w:leader="none"/>
        </w:tabs>
        <w:jc w:val="both"/>
        <w:rPr>
          <w:rFonts w:ascii="Marianne" w:hAnsi="Marianne" w:cs="Arial"/>
        </w:rPr>
      </w:pPr>
      <w:r>
        <w:rPr>
          <w:rFonts w:cs="Arial" w:ascii="Marianne" w:hAnsi="Marianne"/>
        </w:rPr>
      </w:r>
    </w:p>
    <w:p>
      <w:pPr>
        <w:pStyle w:val="Normal"/>
        <w:jc w:val="both"/>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rPr>
          <w:rFonts w:ascii="Marianne" w:hAnsi="Marianne" w:cs="Arial"/>
          <w:sz w:val="18"/>
        </w:rPr>
      </w:pPr>
      <w:r>
        <w:rPr>
          <w:rFonts w:cs="Arial" w:ascii="Marianne" w:hAnsi="Marianne"/>
          <w:sz w:val="18"/>
        </w:rPr>
      </w:r>
    </w:p>
    <w:p>
      <w:pPr>
        <w:pStyle w:val="Normal"/>
        <w:ind w:left="284"/>
        <w:rPr>
          <w:rFonts w:ascii="Marianne" w:hAnsi="Marianne" w:cs="Arial"/>
          <w:sz w:val="16"/>
        </w:rPr>
      </w:pPr>
      <w:r>
        <w:rPr>
          <w:rFonts w:cs="Arial" w:ascii="Marianne" w:hAnsi="Marianne"/>
          <w:sz w:val="16"/>
        </w:rPr>
        <w:t>- Adresse internet</w:t>
      </w:r>
      <w:r>
        <w:rPr>
          <w:rFonts w:cs="Calibri" w:ascii="Calibri" w:hAnsi="Calibri"/>
          <w:sz w:val="16"/>
        </w:rPr>
        <w:t> </w:t>
      </w:r>
      <w:r>
        <w:rPr>
          <w:rFonts w:cs="Arial" w:ascii="Marianne" w:hAnsi="Marianne"/>
          <w:sz w:val="16"/>
        </w:rPr>
        <w:t>:</w:t>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technique et professionnelle.</w:t>
        <w:br/>
      </w:r>
      <w:r>
        <w:rPr>
          <w:rFonts w:cs="Arial" w:ascii="Marianne" w:hAnsi="Marianne"/>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5">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Adresse internet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Renseignements nécessaires pour y accéder :</w:t>
      </w:r>
    </w:p>
    <w:p>
      <w:pPr>
        <w:pStyle w:val="Normal"/>
        <w:ind w:left="284"/>
        <w:rPr>
          <w:rFonts w:ascii="Marianne" w:hAnsi="Marianne" w:cs="Arial"/>
          <w:sz w:val="16"/>
        </w:rPr>
      </w:pPr>
      <w:r>
        <w:rPr>
          <w:rFonts w:cs="Arial" w:ascii="Marianne" w:hAnsi="Marianne"/>
          <w:sz w:val="16"/>
        </w:rPr>
      </w:r>
    </w:p>
    <w:p>
      <w:pPr>
        <w:pStyle w:val="Normal"/>
        <w:ind w:left="284"/>
        <w:rPr/>
      </w:pPr>
      <w:r>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Marianne" w:hAnsi="Marianne" w:cs="Arial"/>
                <w:i/>
                <w:i/>
                <w:iCs/>
                <w:color w:val="FFFFFF"/>
                <w:sz w:val="18"/>
                <w:szCs w:val="18"/>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Marianne" w:hAnsi="Marianne" w:cs="Arial"/>
          <w:i/>
          <w:i/>
          <w:iCs/>
          <w:sz w:val="18"/>
          <w:szCs w:val="18"/>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3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37">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567"/>
          <w:tab w:val="left" w:pos="576" w:leader="none"/>
        </w:tabs>
        <w:spacing w:before="120" w:after="0"/>
        <w:jc w:val="both"/>
        <w:rPr>
          <w:rFonts w:ascii="Marianne" w:hAnsi="Marianne" w:cs="Arial"/>
          <w:iCs/>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9904"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29"/>
        <w:gridCol w:w="4397"/>
        <w:gridCol w:w="4678"/>
      </w:tblGrid>
      <w:tr>
        <w:trPr>
          <w:trHeight w:val="1200" w:hRule="atLeast"/>
        </w:trPr>
        <w:tc>
          <w:tcPr>
            <w:tcW w:w="829"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397"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Marianne" w:hAnsi="Marianne" w:cs="Arial"/>
                <w:b/>
              </w:rPr>
            </w:pPr>
            <w:r>
              <w:rPr>
                <w:rFonts w:cs="Arial" w:ascii="Marianne" w:hAnsi="Marianne"/>
                <w:b/>
              </w:rPr>
              <w:t>Nom du membre du groupement concerné</w:t>
            </w:r>
            <w:r>
              <w:rPr>
                <w:rStyle w:val="FootnoteReference"/>
                <w:rFonts w:cs="Arial" w:ascii="Marianne" w:hAnsi="Marianne"/>
                <w:b/>
              </w:rPr>
              <w:footnoteReference w:id="3"/>
            </w:r>
          </w:p>
        </w:tc>
        <w:tc>
          <w:tcPr>
            <w:tcW w:w="46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Marianne" w:hAnsi="Marianne"/>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29"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7"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top w:val="single" w:sz="4" w:space="0" w:color="000000"/>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9"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7"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bottom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bl>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rHeight w:val="407" w:hRule="atLeast"/>
        </w:trPr>
        <w:tc>
          <w:tcPr>
            <w:tcW w:w="9852" w:type="dxa"/>
            <w:tcBorders/>
            <w:shd w:color="auto" w:fill="465F9D" w:val="clear"/>
          </w:tcPr>
          <w:p>
            <w:pPr>
              <w:pStyle w:val="Header"/>
              <w:rPr>
                <w:rFonts w:ascii="Marianne" w:hAnsi="Marianne" w:cs="Arial"/>
                <w:color w:val="FFFFFF"/>
                <w:spacing w:val="-10"/>
              </w:rPr>
            </w:pPr>
            <w:r>
              <w:rPr>
                <w:rFonts w:cs="Arial" w:ascii="Marianne" w:hAnsi="Marianne"/>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b/>
          <w:bCs/>
          <w:sz w:val="22"/>
          <w:szCs w:val="22"/>
        </w:rPr>
        <w:t>I1 – Renseignements relatifs à la nationalité du candidat individuel ou du membre du groupement</w:t>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sz w:val="22"/>
          <w:szCs w:val="22"/>
        </w:rPr>
      </w:pPr>
      <w:r>
        <w:rPr>
          <w:rFonts w:cs="Arial" w:ascii="Marianne" w:hAnsi="Marianne"/>
          <w:b/>
          <w:bCs/>
          <w:sz w:val="22"/>
          <w:szCs w:val="22"/>
        </w:rPr>
        <w:t>I2 – D</w:t>
      </w:r>
      <w:r>
        <w:rPr>
          <w:rFonts w:cs="Arial" w:ascii="Marianne" w:hAnsi="Marianne"/>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Marianne" w:hAnsi="Marianne"/>
          <w:bCs/>
          <w:sz w:val="22"/>
          <w:szCs w:val="22"/>
        </w:rPr>
        <w:t xml:space="preserve"> (uniquement </w:t>
      </w:r>
      <w:r>
        <w:rPr>
          <w:rFonts w:cs="Arial" w:ascii="Marianne" w:hAnsi="Marianne"/>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spacing w:before="120" w:after="120"/>
        <w:jc w:val="both"/>
        <w:rPr>
          <w:rFonts w:ascii="Marianne" w:hAnsi="Marianne"/>
        </w:rPr>
      </w:pPr>
      <w:r>
        <w:rPr>
          <w:rFonts w:cs="Arial" w:ascii="Marianne" w:hAnsi="Marianne"/>
          <w:sz w:val="16"/>
          <w:szCs w:val="16"/>
        </w:rPr>
        <w:t>Date de la dernière mise à jour</w:t>
      </w:r>
      <w:r>
        <w:rPr>
          <w:rFonts w:cs="Calibri" w:ascii="Calibri" w:hAnsi="Calibri"/>
          <w:sz w:val="16"/>
          <w:szCs w:val="16"/>
        </w:rPr>
        <w:t> </w:t>
      </w:r>
      <w:r>
        <w:rPr>
          <w:rFonts w:cs="Arial" w:ascii="Marianne" w:hAnsi="Marianne"/>
          <w:sz w:val="16"/>
          <w:szCs w:val="16"/>
        </w:rPr>
        <w:t>: 21/11/2023</w:t>
      </w:r>
    </w:p>
    <w:sectPr>
      <w:footnotePr>
        <w:numFmt w:val="decimal"/>
      </w:footnotePr>
      <w:type w:val="continuous"/>
      <w:pgSz w:w="11906" w:h="16838"/>
      <w:pgMar w:left="1417" w:right="1417" w:gutter="0" w:header="0" w:top="1417" w:footer="680" w:bottom="141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Arial Narrow">
    <w:charset w:val="00"/>
    <w:family w:val="swiss"/>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Marianne">
    <w:charset w:val="01"/>
    <w:family w:val="auto"/>
    <w:pitch w:val="default"/>
  </w:font>
  <w:font w:name="Garamond">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2"/>
      <w:gridCol w:w="538"/>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2025064AOF</w:t>
          </w:r>
        </w:p>
      </w:tc>
      <w:tc>
        <w:tcPr>
          <w:tcW w:w="902"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2"/>
      <w:gridCol w:w="538"/>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2025064AOF</w:t>
          </w:r>
        </w:p>
      </w:tc>
      <w:tc>
        <w:tcPr>
          <w:tcW w:w="902"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0"/>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spacing w:before="0" w:after="0"/>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spacing w:before="0" w:after="0"/>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rFonts w:cs="Times New Roman"/>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3">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6">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3"/>
  </w:num>
  <w:num w:numId="8">
    <w:abstractNumId w:val="3"/>
  </w:num>
</w:numbering>
</file>

<file path=word/settings.xml><?xml version="1.0" encoding="utf-8"?>
<w:settings xmlns:w="http://schemas.openxmlformats.org/wordprocessingml/2006/main">
  <w:zoom w:percent="124"/>
  <w:embedSystemFonts/>
  <w:defaultTabStop w:val="567"/>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148d9"/>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2"/>
      </w:numPr>
      <w:tabs>
        <w:tab w:val="clear" w:pos="567"/>
        <w:tab w:val="left" w:pos="0" w:leader="none"/>
      </w:tabs>
      <w:ind w:left="567"/>
      <w:outlineLvl w:val="0"/>
    </w:pPr>
    <w:rPr>
      <w:b/>
      <w:bCs/>
    </w:rPr>
  </w:style>
  <w:style w:type="paragraph" w:styleId="Heading2">
    <w:name w:val="heading 2"/>
    <w:basedOn w:val="Normal"/>
    <w:next w:val="Normal"/>
    <w:qFormat/>
    <w:pPr>
      <w:keepNext w:val="true"/>
      <w:numPr>
        <w:ilvl w:val="1"/>
        <w:numId w:val="2"/>
      </w:numPr>
      <w:outlineLvl w:val="1"/>
    </w:pPr>
    <w:rPr>
      <w:b/>
      <w:bCs/>
    </w:rPr>
  </w:style>
  <w:style w:type="paragraph" w:styleId="Heading3">
    <w:name w:val="heading 3"/>
    <w:basedOn w:val="Normal"/>
    <w:next w:val="Normal"/>
    <w:qFormat/>
    <w:pPr>
      <w:keepNext w:val="true"/>
      <w:numPr>
        <w:ilvl w:val="2"/>
        <w:numId w:val="2"/>
      </w:numPr>
      <w:tabs>
        <w:tab w:val="clear" w:pos="567"/>
        <w:tab w:val="left" w:pos="0" w:leader="none"/>
      </w:tabs>
      <w:ind w:left="1134"/>
      <w:outlineLvl w:val="2"/>
    </w:pPr>
    <w:rPr>
      <w:b/>
      <w:bCs/>
    </w:rPr>
  </w:style>
  <w:style w:type="paragraph" w:styleId="Heading4">
    <w:name w:val="heading 4"/>
    <w:basedOn w:val="Normal"/>
    <w:next w:val="Normal"/>
    <w:qFormat/>
    <w:pPr>
      <w:keepNext w:val="true"/>
      <w:numPr>
        <w:ilvl w:val="3"/>
        <w:numId w:val="2"/>
      </w:numPr>
      <w:tabs>
        <w:tab w:val="clear" w:pos="567"/>
        <w:tab w:val="left" w:pos="0" w:leader="none"/>
      </w:tabs>
      <w:outlineLvl w:val="3"/>
    </w:pPr>
    <w:rPr>
      <w:b/>
      <w:bCs/>
      <w:i/>
      <w:iCs/>
      <w:sz w:val="16"/>
      <w:szCs w:val="16"/>
    </w:rPr>
  </w:style>
  <w:style w:type="paragraph" w:styleId="Heading5">
    <w:name w:val="heading 5"/>
    <w:basedOn w:val="Normal"/>
    <w:next w:val="Normal"/>
    <w:qFormat/>
    <w:pPr>
      <w:keepNext w:val="true"/>
      <w:numPr>
        <w:ilvl w:val="4"/>
        <w:numId w:val="2"/>
      </w:numPr>
      <w:tabs>
        <w:tab w:val="clear" w:pos="567"/>
        <w:tab w:val="left" w:pos="0" w:leader="none"/>
      </w:tabs>
      <w:jc w:val="center"/>
      <w:outlineLvl w:val="4"/>
    </w:pPr>
    <w:rPr>
      <w:rFonts w:ascii="Arial" w:hAnsi="Arial" w:cs="Arial"/>
      <w:b/>
      <w:bCs/>
    </w:rPr>
  </w:style>
  <w:style w:type="paragraph" w:styleId="Heading6">
    <w:name w:val="heading 6"/>
    <w:basedOn w:val="Normal"/>
    <w:next w:val="Normal"/>
    <w:qFormat/>
    <w:pPr>
      <w:keepNext w:val="true"/>
      <w:numPr>
        <w:ilvl w:val="5"/>
        <w:numId w:val="2"/>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2"/>
      </w:numPr>
      <w:outlineLvl w:val="6"/>
    </w:pPr>
    <w:rPr>
      <w:b/>
      <w:bCs/>
      <w:sz w:val="22"/>
      <w:szCs w:val="22"/>
    </w:rPr>
  </w:style>
  <w:style w:type="paragraph" w:styleId="Heading8">
    <w:name w:val="heading 8"/>
    <w:basedOn w:val="Normal"/>
    <w:next w:val="Normal"/>
    <w:qFormat/>
    <w:pPr>
      <w:keepNext w:val="true"/>
      <w:numPr>
        <w:ilvl w:val="7"/>
        <w:numId w:val="2"/>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2"/>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unhideWhenUsed/>
    <w:qFormat/>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user" w:customStyle="1">
    <w:name w:val="Caractères de note de bas de page (user)"/>
    <w:qFormat/>
    <w:rPr>
      <w:vertAlign w:val="superscript"/>
    </w:rPr>
  </w:style>
  <w:style w:type="character" w:styleId="Hyperlink">
    <w:name w:val="Hyperlink"/>
    <w:rPr>
      <w:rFonts w:cs="Times New Roman"/>
      <w:color w:val="0000FF"/>
      <w:u w:val="single"/>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Caractresdenotedefin">
    <w:name w:val="Caractères de note de fin"/>
    <w:qFormat/>
    <w:rPr>
      <w:vertAlign w:val="superscript"/>
    </w:rPr>
  </w:style>
  <w:style w:type="character" w:styleId="Caractresdenotedefinuser" w:customStyle="1">
    <w:name w:val="Caractères de note de fin (user)"/>
    <w:qFormat/>
    <w:rPr/>
  </w:style>
  <w:style w:type="character" w:styleId="EndnoteReference">
    <w:name w:val="endnote reference"/>
    <w:rPr>
      <w:vertAlign w:val="superscript"/>
    </w:rPr>
  </w:style>
  <w:style w:type="character" w:styleId="Comment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ollowedHyperlink">
    <w:name w:val="FollowedHyperlink"/>
    <w:uiPriority w:val="99"/>
    <w:semiHidden/>
    <w:unhideWhenUsed/>
    <w:rPr>
      <w:color w:val="800080"/>
      <w:u w:val="single"/>
    </w:rPr>
  </w:style>
  <w:style w:type="character" w:styleId="FicheTitreCar" w:customStyle="1">
    <w:name w:val="Fiche Titre Car"/>
    <w:link w:val="FicheTitre"/>
    <w:qFormat/>
    <w:locked/>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trike w:val="false"/>
      <w:dstrike w:val="false"/>
      <w:spacing w:val="50"/>
      <w:w w:val="100"/>
      <w:sz w:val="17"/>
      <w:szCs w:val="17"/>
      <w:u w:val="none"/>
      <w:effect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character" w:styleId="Appelnotedebasdep2">
    <w:name w:val="Appel note de bas de p.2"/>
    <w:qFormat/>
    <w:rPr>
      <w:vertAlign w:val="superscript"/>
    </w:rPr>
  </w:style>
  <w:style w:type="character" w:styleId="WW-Caractresdenotedefin">
    <w:name w:val="WW-Caractères de note de fin"/>
    <w:qForma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5z3">
    <w:name w:val="WW8Num5z3"/>
    <w:qFormat/>
    <w:rPr>
      <w:rFonts w:ascii="Symbol" w:hAnsi="Symbol" w:cs="Symbol"/>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2z1">
    <w:name w:val="WW8Num2z1"/>
    <w:qFormat/>
    <w:rPr>
      <w:rFonts w:cs="Times New Roman"/>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customStyle="1">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Lucida Sans"/>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FootnoteText">
    <w:name w:val="footnote text"/>
    <w:basedOn w:val="Normal"/>
    <w:pPr/>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user" w:customStyle="1">
    <w:name w:val="Contenu de tableau (user)"/>
    <w:basedOn w:val="Normal"/>
    <w:qFormat/>
    <w:pPr>
      <w:suppressLineNumbers/>
    </w:pPr>
    <w:rPr/>
  </w:style>
  <w:style w:type="paragraph" w:styleId="Titredetableauuser" w:customStyle="1">
    <w:name w:val="Titre de tableau (user)"/>
    <w:basedOn w:val="Contenudetableauuser"/>
    <w:qFormat/>
    <w:pPr>
      <w:jc w:val="center"/>
    </w:pPr>
    <w:rPr>
      <w:b/>
      <w:bCs/>
    </w:rPr>
  </w:style>
  <w:style w:type="paragraph" w:styleId="CommentText">
    <w:name w:val="annotation text"/>
    <w:basedOn w:val="Normal"/>
    <w:link w:val="CommentaireCar1"/>
    <w:uiPriority w:val="99"/>
    <w:unhideWhenUsed/>
    <w:pPr/>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FicheTitre" w:customStyle="1">
    <w:name w:val="Fiche Titre"/>
    <w:basedOn w:val="Normal"/>
    <w:link w:val="FicheTitreCar"/>
    <w:qFormat/>
    <w:pPr>
      <w:tabs>
        <w:tab w:val="clear" w:pos="567"/>
        <w:tab w:val="left" w:pos="720" w:leader="none"/>
      </w:tabs>
      <w:suppressAutoHyphens w:val="false"/>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ListParagraph">
    <w:name w:val="List Paragraph"/>
    <w:basedOn w:val="Normal"/>
    <w:uiPriority w:val="34"/>
    <w:qFormat/>
    <w:pPr>
      <w:suppressAutoHyphens w:val="false"/>
      <w:ind w:left="720"/>
    </w:pPr>
    <w:rPr>
      <w:rFonts w:ascii="Calibri" w:hAnsi="Calibri" w:eastAsia="Calibri" w:cs="Calibri"/>
      <w:sz w:val="22"/>
      <w:szCs w:val="22"/>
      <w:lang w:eastAsia="en-US"/>
    </w:rPr>
  </w:style>
  <w:style w:type="paragraph" w:styleId="00MariannedebasePD" w:customStyle="1">
    <w:name w:val="00_Marianne de base_PD"/>
    <w:link w:val="00MariannedebasePDCar"/>
    <w:qFormat/>
    <w:pPr>
      <w:keepLines/>
      <w:widowControl/>
      <w:suppressAutoHyphens w:val="true"/>
      <w:bidi w:val="0"/>
      <w:spacing w:before="120" w:after="120"/>
      <w:jc w:val="both"/>
    </w:pPr>
    <w:rPr>
      <w:rFonts w:ascii="Marianne" w:hAnsi="Marianne" w:eastAsia="Times New Roman" w:cs="Times New Roman"/>
      <w:color w:val="auto"/>
      <w:kern w:val="0"/>
      <w:sz w:val="20"/>
      <w:szCs w:val="20"/>
      <w:lang w:val="fr-FR" w:eastAsia="fr-FR" w:bidi="ar-SA"/>
    </w:rPr>
  </w:style>
  <w:style w:type="paragraph" w:styleId="NoSpacing">
    <w:name w:val="No Spacing"/>
    <w:link w:val="SansinterligneCar"/>
    <w:uiPriority w:val="1"/>
    <w:qFormat/>
    <w:pPr>
      <w:widowControl/>
      <w:suppressAutoHyphens w:val="true"/>
      <w:bidi w:val="0"/>
      <w:spacing w:before="0" w:after="0"/>
      <w:jc w:val="left"/>
    </w:pPr>
    <w:rPr>
      <w:rFonts w:ascii="Calibri" w:hAnsi="Calibri" w:eastAsia="Calibri" w:cs="Times New Roman"/>
      <w:color w:val="auto"/>
      <w:kern w:val="0"/>
      <w:sz w:val="22"/>
      <w:szCs w:val="22"/>
      <w:lang w:val="fr-FR" w:eastAsia="en-US" w:bidi="ar-SA"/>
    </w:rPr>
  </w:style>
  <w:style w:type="paragraph" w:styleId="RedTitre1" w:customStyle="1">
    <w:name w:val="RedTitre1"/>
    <w:basedOn w:val="Normal"/>
    <w:qFormat/>
    <w:rsid w:val="00440ad8"/>
    <w:pPr>
      <w:widowControl w:val="false"/>
      <w:jc w:val="center"/>
    </w:pPr>
    <w:rPr>
      <w:rFonts w:ascii="Arial" w:hAnsi="Arial"/>
      <w:b/>
      <w:sz w:val="22"/>
      <w:lang w:eastAsia="ar-SA"/>
    </w:rPr>
  </w:style>
  <w:style w:type="paragraph" w:styleId="Contenudecadre">
    <w:name w:val="Contenu de cadre"/>
    <w:basedOn w:val="Normal"/>
    <w:qFormat/>
    <w:pPr/>
    <w:rPr/>
  </w:style>
  <w:style w:type="paragraph" w:styleId="Subtitle">
    <w:name w:val="Subtitle"/>
    <w:basedOn w:val="Normal"/>
    <w:next w:val="Normal"/>
    <w:qFormat/>
    <w:pPr>
      <w:spacing w:before="240" w:after="240"/>
      <w:jc w:val="center"/>
    </w:pPr>
    <w:rPr>
      <w:rFonts w:eastAsia="" w:eastAsiaTheme="minorEastAsia"/>
      <w:color w:themeColor="text1" w:themeTint="a5" w:val="5A5A5A"/>
      <w:spacing w:val="15"/>
      <w:sz w:val="36"/>
    </w:rPr>
  </w:style>
  <w:style w:type="paragraph" w:styleId="Contenudecadreuser">
    <w:name w:val="Contenu de cadre (user)"/>
    <w:basedOn w:val="Normal"/>
    <w:qFormat/>
    <w:pPr/>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left="2268"/>
      <w:jc w:val="both"/>
    </w:pPr>
    <w:rPr>
      <w:rFonts w:ascii="Arial" w:hAnsi="Arial" w:cs="Arial"/>
      <w:i/>
      <w:iCs/>
      <w:sz w:val="16"/>
      <w:szCs w:val="16"/>
    </w:rPr>
  </w:style>
  <w:style w:type="paragraph" w:styleId="Retraitcorpsdetexte21">
    <w:name w:val="Retrait corps de texte 21"/>
    <w:basedOn w:val="Normal"/>
    <w:qFormat/>
    <w:pPr>
      <w:ind w:left="2835"/>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fcasegauche">
    <w:name w:val="f_case_gauche"/>
    <w:basedOn w:val="Normal"/>
    <w:qFormat/>
    <w:pPr>
      <w:ind w:hanging="255" w:left="255"/>
      <w:jc w:val="both"/>
    </w:pPr>
    <w:rPr/>
  </w:style>
  <w:style w:type="paragraph" w:styleId="ftiret">
    <w:name w:val="f_tiret"/>
    <w:basedOn w:val="Normal"/>
    <w:qFormat/>
    <w:pPr>
      <w:tabs>
        <w:tab w:val="clear" w:pos="567"/>
        <w:tab w:val="left" w:pos="426" w:leader="none"/>
      </w:tabs>
      <w:spacing w:before="120" w:after="0"/>
      <w:ind w:hanging="142" w:left="142"/>
      <w:jc w:val="both"/>
    </w:pPr>
    <w:rPr>
      <w:sz w:val="22"/>
      <w:szCs w:val="22"/>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3">
    <w:name w:val="Titre3"/>
    <w:basedOn w:val="Normal"/>
    <w:next w:val="BodyText"/>
    <w:qFormat/>
    <w:pPr>
      <w:keepNext w:val="true"/>
      <w:spacing w:before="240" w:after="120"/>
    </w:pPr>
    <w:rPr>
      <w:rFonts w:ascii="Arial" w:hAnsi="Arial" w:eastAsia="Microsoft YaHei" w:cs="Mangal"/>
      <w:sz w:val="28"/>
      <w:szCs w:val="28"/>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9" Type="http://schemas.openxmlformats.org/officeDocument/2006/relationships/hyperlink" Target="https://www.legifrance.gouv.fr/codes/article_lc/LEGIARTI000037703521/" TargetMode="External"/><Relationship Id="rId20" Type="http://schemas.openxmlformats.org/officeDocument/2006/relationships/hyperlink" Target="https://www.legifrance.gouv.fr/codes/article_lc/LEGIARTI000037703523" TargetMode="External"/><Relationship Id="rId21" Type="http://schemas.openxmlformats.org/officeDocument/2006/relationships/hyperlink" Target="https://www.legifrance.gouv.fr/codes/article_lc/LEGIARTI000046449697"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5"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3" Type="http://schemas.openxmlformats.org/officeDocument/2006/relationships/hyperlink" Target="https://www.legifrance.gouv.fr/affichCodeArticle.do?idArticle=LEGIARTI000006795912&amp;cidTexte=LEGITEXT000006073984"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8" Type="http://schemas.openxmlformats.org/officeDocument/2006/relationships/footnotes" Target="footnotes.xm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LibreOffice/25.2.7.2$Windows_X86_64 LibreOffice_project/5cbfd1ab6520636bb5f7b99185aa69bd7456825d</Application>
  <AppVersion>15.0000</AppVersion>
  <Pages>9</Pages>
  <Words>2795</Words>
  <Characters>15238</Characters>
  <CharactersWithSpaces>17896</CharactersWithSpaces>
  <Paragraphs>147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util-daj</dc:creator>
  <dc:description/>
  <dc:language>fr-FR</dc:language>
  <cp:lastModifiedBy/>
  <cp:lastPrinted>2023-09-26T08:15:00Z</cp:lastPrinted>
  <dcterms:modified xsi:type="dcterms:W3CDTF">2025-12-18T09:29:31Z</dcterms:modified>
  <cp:revision>6</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